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15238" w14:textId="2F0BFF1D" w:rsidR="000D46D1" w:rsidRDefault="000D46D1" w:rsidP="000D46D1">
      <w:pPr>
        <w:jc w:val="center"/>
        <w:rPr>
          <w:b/>
        </w:rPr>
      </w:pPr>
      <w:r>
        <w:rPr>
          <w:b/>
        </w:rPr>
        <w:t xml:space="preserve">LEI </w:t>
      </w:r>
      <w:r w:rsidR="00DD2C45">
        <w:rPr>
          <w:b/>
        </w:rPr>
        <w:t>COMPLEMENTAR Nº 983, DE 21 DE JULHO DE 2023</w:t>
      </w:r>
      <w:r>
        <w:rPr>
          <w:b/>
        </w:rPr>
        <w:t>.</w:t>
      </w:r>
    </w:p>
    <w:p w14:paraId="00000001" w14:textId="631B2F45" w:rsidR="00AA7A4A" w:rsidRPr="00EF4276" w:rsidRDefault="00AA7A4A" w:rsidP="00015252">
      <w:pPr>
        <w:jc w:val="center"/>
        <w:rPr>
          <w:b/>
        </w:rPr>
      </w:pPr>
    </w:p>
    <w:p w14:paraId="00000002" w14:textId="77777777" w:rsidR="00AA7A4A" w:rsidRPr="00EF4276" w:rsidRDefault="00AA7A4A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298382F4" w14:textId="01603087" w:rsidR="00070359" w:rsidRPr="007E75A8" w:rsidRDefault="00B45E75" w:rsidP="00DD2C45">
      <w:pPr>
        <w:ind w:left="4253"/>
        <w:jc w:val="both"/>
        <w:rPr>
          <w:b/>
          <w:shd w:val="clear" w:color="auto" w:fill="FFFFFF"/>
        </w:rPr>
      </w:pPr>
      <w:r w:rsidRPr="00B45E75">
        <w:rPr>
          <w:b/>
          <w:shd w:val="clear" w:color="auto" w:fill="FFFFFF"/>
        </w:rPr>
        <w:t>Inclui Capítulo V-A</w:t>
      </w:r>
      <w:r w:rsidR="00DB13C3">
        <w:rPr>
          <w:b/>
          <w:shd w:val="clear" w:color="auto" w:fill="FFFFFF"/>
        </w:rPr>
        <w:t xml:space="preserve">, com </w:t>
      </w:r>
      <w:proofErr w:type="spellStart"/>
      <w:r w:rsidR="00DB13C3">
        <w:rPr>
          <w:b/>
          <w:shd w:val="clear" w:color="auto" w:fill="FFFFFF"/>
        </w:rPr>
        <w:t>arts</w:t>
      </w:r>
      <w:proofErr w:type="spellEnd"/>
      <w:r w:rsidR="00DB13C3">
        <w:rPr>
          <w:b/>
          <w:shd w:val="clear" w:color="auto" w:fill="FFFFFF"/>
        </w:rPr>
        <w:t>. 29-</w:t>
      </w:r>
      <w:proofErr w:type="gramStart"/>
      <w:r w:rsidR="00DB13C3">
        <w:rPr>
          <w:b/>
          <w:shd w:val="clear" w:color="auto" w:fill="FFFFFF"/>
        </w:rPr>
        <w:t>A a</w:t>
      </w:r>
      <w:proofErr w:type="gramEnd"/>
      <w:r w:rsidR="00DB13C3">
        <w:rPr>
          <w:b/>
          <w:shd w:val="clear" w:color="auto" w:fill="FFFFFF"/>
        </w:rPr>
        <w:t xml:space="preserve"> 29-E,</w:t>
      </w:r>
      <w:r w:rsidRPr="00B45E75">
        <w:rPr>
          <w:b/>
          <w:shd w:val="clear" w:color="auto" w:fill="FFFFFF"/>
        </w:rPr>
        <w:t xml:space="preserve"> </w:t>
      </w:r>
      <w:r w:rsidR="001618DD">
        <w:rPr>
          <w:b/>
          <w:shd w:val="clear" w:color="auto" w:fill="FFFFFF"/>
        </w:rPr>
        <w:t>n</w:t>
      </w:r>
      <w:r w:rsidR="001618DD" w:rsidRPr="00B45E75">
        <w:rPr>
          <w:b/>
          <w:shd w:val="clear" w:color="auto" w:fill="FFFFFF"/>
        </w:rPr>
        <w:t>a Lei Complementar nº 12, de 7 de janeiro de 1975</w:t>
      </w:r>
      <w:r w:rsidR="00DB13C3">
        <w:rPr>
          <w:b/>
          <w:shd w:val="clear" w:color="auto" w:fill="FFFFFF"/>
        </w:rPr>
        <w:t xml:space="preserve"> – </w:t>
      </w:r>
      <w:r w:rsidR="001618DD" w:rsidRPr="00B45E75">
        <w:rPr>
          <w:b/>
          <w:shd w:val="clear" w:color="auto" w:fill="FFFFFF"/>
        </w:rPr>
        <w:t>que institui posturas para o Município de Porto Alegre</w:t>
      </w:r>
      <w:r w:rsidR="00DB13C3">
        <w:rPr>
          <w:b/>
          <w:shd w:val="clear" w:color="auto" w:fill="FFFFFF"/>
        </w:rPr>
        <w:t xml:space="preserve"> –, e alterações posteriores</w:t>
      </w:r>
      <w:r w:rsidRPr="00B45E75">
        <w:rPr>
          <w:b/>
          <w:shd w:val="clear" w:color="auto" w:fill="FFFFFF"/>
        </w:rPr>
        <w:t xml:space="preserve">; </w:t>
      </w:r>
      <w:r w:rsidR="001618DD" w:rsidRPr="001618DD">
        <w:rPr>
          <w:b/>
          <w:shd w:val="clear" w:color="auto" w:fill="FFFFFF"/>
        </w:rPr>
        <w:t>inclu</w:t>
      </w:r>
      <w:r w:rsidR="001618DD">
        <w:rPr>
          <w:b/>
          <w:shd w:val="clear" w:color="auto" w:fill="FFFFFF"/>
        </w:rPr>
        <w:t xml:space="preserve">i </w:t>
      </w:r>
      <w:r w:rsidR="001618DD" w:rsidRPr="001618DD">
        <w:rPr>
          <w:b/>
          <w:shd w:val="clear" w:color="auto" w:fill="FFFFFF"/>
        </w:rPr>
        <w:t>parágrafo único no art. 1º-A da Lei Complementar nº 554, de 11 de julho de 2006</w:t>
      </w:r>
      <w:r w:rsidR="00DD7645">
        <w:rPr>
          <w:b/>
          <w:shd w:val="clear" w:color="auto" w:fill="FFFFFF"/>
        </w:rPr>
        <w:t xml:space="preserve"> – que </w:t>
      </w:r>
      <w:r w:rsidR="00DD7645" w:rsidRPr="00DD7645">
        <w:rPr>
          <w:b/>
          <w:shd w:val="clear" w:color="auto" w:fill="FFFFFF"/>
        </w:rPr>
        <w:t xml:space="preserve">institui a autorização para o funcionamento de atividades econômicas no </w:t>
      </w:r>
      <w:r w:rsidR="00DD7645">
        <w:rPr>
          <w:b/>
          <w:shd w:val="clear" w:color="auto" w:fill="FFFFFF"/>
        </w:rPr>
        <w:t>M</w:t>
      </w:r>
      <w:r w:rsidR="00DD7645" w:rsidRPr="00DD7645">
        <w:rPr>
          <w:b/>
          <w:shd w:val="clear" w:color="auto" w:fill="FFFFFF"/>
        </w:rPr>
        <w:t xml:space="preserve">unicípio de </w:t>
      </w:r>
      <w:r w:rsidR="00DD7645">
        <w:rPr>
          <w:b/>
          <w:shd w:val="clear" w:color="auto" w:fill="FFFFFF"/>
        </w:rPr>
        <w:t>P</w:t>
      </w:r>
      <w:r w:rsidR="00DD7645" w:rsidRPr="00DD7645">
        <w:rPr>
          <w:b/>
          <w:shd w:val="clear" w:color="auto" w:fill="FFFFFF"/>
        </w:rPr>
        <w:t xml:space="preserve">orto </w:t>
      </w:r>
      <w:r w:rsidR="00DD7645">
        <w:rPr>
          <w:b/>
          <w:shd w:val="clear" w:color="auto" w:fill="FFFFFF"/>
        </w:rPr>
        <w:t>A</w:t>
      </w:r>
      <w:r w:rsidR="00DD7645" w:rsidRPr="00DD7645">
        <w:rPr>
          <w:b/>
          <w:shd w:val="clear" w:color="auto" w:fill="FFFFFF"/>
        </w:rPr>
        <w:t>legre, dispõe sobre sua aplicação, expedição, vigência, renovação e cancelamento e dá outras providências</w:t>
      </w:r>
      <w:r w:rsidR="00DD7645">
        <w:rPr>
          <w:b/>
          <w:shd w:val="clear" w:color="auto" w:fill="FFFFFF"/>
        </w:rPr>
        <w:t xml:space="preserve"> –</w:t>
      </w:r>
      <w:r w:rsidR="001618DD" w:rsidRPr="001618DD">
        <w:rPr>
          <w:b/>
          <w:shd w:val="clear" w:color="auto" w:fill="FFFFFF"/>
        </w:rPr>
        <w:t>, e alterações posteriores</w:t>
      </w:r>
      <w:r w:rsidR="001618DD">
        <w:rPr>
          <w:b/>
          <w:shd w:val="clear" w:color="auto" w:fill="FFFFFF"/>
        </w:rPr>
        <w:t>;</w:t>
      </w:r>
      <w:r w:rsidRPr="00B45E75">
        <w:rPr>
          <w:b/>
          <w:shd w:val="clear" w:color="auto" w:fill="FFFFFF"/>
        </w:rPr>
        <w:t xml:space="preserve"> altera o § 1º e inclui inc. XI</w:t>
      </w:r>
      <w:r w:rsidR="00DB13C3">
        <w:rPr>
          <w:b/>
          <w:shd w:val="clear" w:color="auto" w:fill="FFFFFF"/>
        </w:rPr>
        <w:t xml:space="preserve"> no </w:t>
      </w:r>
      <w:r w:rsidR="00DB13C3" w:rsidRPr="002D78BA">
        <w:rPr>
          <w:b/>
          <w:i/>
          <w:iCs/>
          <w:shd w:val="clear" w:color="auto" w:fill="FFFFFF"/>
        </w:rPr>
        <w:t>caput</w:t>
      </w:r>
      <w:r w:rsidRPr="00B45E75">
        <w:rPr>
          <w:b/>
          <w:shd w:val="clear" w:color="auto" w:fill="FFFFFF"/>
        </w:rPr>
        <w:t xml:space="preserve"> </w:t>
      </w:r>
      <w:r w:rsidR="009D418B">
        <w:rPr>
          <w:b/>
          <w:shd w:val="clear" w:color="auto" w:fill="FFFFFF"/>
        </w:rPr>
        <w:t>e</w:t>
      </w:r>
      <w:r w:rsidRPr="00B45E75">
        <w:rPr>
          <w:b/>
          <w:shd w:val="clear" w:color="auto" w:fill="FFFFFF"/>
        </w:rPr>
        <w:t xml:space="preserve"> §§ 8º e 9º no art. 4º e § 3º no art. 6º</w:t>
      </w:r>
      <w:r w:rsidR="009D418B">
        <w:rPr>
          <w:b/>
          <w:shd w:val="clear" w:color="auto" w:fill="FFFFFF"/>
        </w:rPr>
        <w:t>, todos n</w:t>
      </w:r>
      <w:r w:rsidRPr="00B45E75">
        <w:rPr>
          <w:b/>
          <w:shd w:val="clear" w:color="auto" w:fill="FFFFFF"/>
        </w:rPr>
        <w:t>a Lei Complementar nº 876, de 3 de março de 2020</w:t>
      </w:r>
      <w:r w:rsidR="00DB13C3">
        <w:rPr>
          <w:b/>
          <w:shd w:val="clear" w:color="auto" w:fill="FFFFFF"/>
        </w:rPr>
        <w:t xml:space="preserve"> – </w:t>
      </w:r>
      <w:r w:rsidRPr="00B45E75">
        <w:rPr>
          <w:b/>
          <w:shd w:val="clear" w:color="auto" w:fill="FFFFFF"/>
        </w:rPr>
        <w:t>que institui a Declaração Municipal de Direitos de Liberdade Econômica, estabelece normas para os atos de liberação de atividade econômica e a análise de impacto regulatório</w:t>
      </w:r>
      <w:r w:rsidR="00DB13C3">
        <w:rPr>
          <w:b/>
          <w:shd w:val="clear" w:color="auto" w:fill="FFFFFF"/>
        </w:rPr>
        <w:t xml:space="preserve"> –</w:t>
      </w:r>
      <w:r w:rsidR="00BF4146">
        <w:rPr>
          <w:b/>
          <w:shd w:val="clear" w:color="auto" w:fill="FFFFFF"/>
        </w:rPr>
        <w:t>;</w:t>
      </w:r>
      <w:r w:rsidR="001618DD" w:rsidRPr="00B45E75">
        <w:rPr>
          <w:b/>
          <w:shd w:val="clear" w:color="auto" w:fill="FFFFFF"/>
        </w:rPr>
        <w:t xml:space="preserve"> e revoga o Capítulo V</w:t>
      </w:r>
      <w:r w:rsidR="001618DD">
        <w:rPr>
          <w:b/>
          <w:shd w:val="clear" w:color="auto" w:fill="FFFFFF"/>
        </w:rPr>
        <w:t>,</w:t>
      </w:r>
      <w:r w:rsidR="001618DD" w:rsidRPr="00B45E75">
        <w:rPr>
          <w:b/>
          <w:shd w:val="clear" w:color="auto" w:fill="FFFFFF"/>
        </w:rPr>
        <w:t xml:space="preserve"> com seus </w:t>
      </w:r>
      <w:proofErr w:type="spellStart"/>
      <w:r w:rsidR="001618DD" w:rsidRPr="00B45E75">
        <w:rPr>
          <w:b/>
          <w:shd w:val="clear" w:color="auto" w:fill="FFFFFF"/>
        </w:rPr>
        <w:t>arts</w:t>
      </w:r>
      <w:proofErr w:type="spellEnd"/>
      <w:r w:rsidR="001618DD" w:rsidRPr="00B45E75">
        <w:rPr>
          <w:b/>
          <w:shd w:val="clear" w:color="auto" w:fill="FFFFFF"/>
        </w:rPr>
        <w:t>. 29 a 34</w:t>
      </w:r>
      <w:r w:rsidR="00243852">
        <w:rPr>
          <w:b/>
          <w:shd w:val="clear" w:color="auto" w:fill="FFFFFF"/>
        </w:rPr>
        <w:t>,</w:t>
      </w:r>
      <w:r w:rsidR="001618DD" w:rsidRPr="00B45E75">
        <w:rPr>
          <w:b/>
          <w:shd w:val="clear" w:color="auto" w:fill="FFFFFF"/>
        </w:rPr>
        <w:t xml:space="preserve"> da Lei Complementar nº 12, de </w:t>
      </w:r>
      <w:proofErr w:type="gramStart"/>
      <w:r w:rsidR="001618DD" w:rsidRPr="00B45E75">
        <w:rPr>
          <w:b/>
          <w:shd w:val="clear" w:color="auto" w:fill="FFFFFF"/>
        </w:rPr>
        <w:t>7</w:t>
      </w:r>
      <w:proofErr w:type="gramEnd"/>
      <w:r w:rsidR="001618DD" w:rsidRPr="00B45E75">
        <w:rPr>
          <w:b/>
          <w:shd w:val="clear" w:color="auto" w:fill="FFFFFF"/>
        </w:rPr>
        <w:t xml:space="preserve"> de janeiro de 1975</w:t>
      </w:r>
      <w:r w:rsidR="00237195">
        <w:rPr>
          <w:b/>
          <w:shd w:val="clear" w:color="auto" w:fill="FFFFFF"/>
        </w:rPr>
        <w:t xml:space="preserve">, dispondo sobre </w:t>
      </w:r>
      <w:r w:rsidR="00237195" w:rsidRPr="00237195">
        <w:rPr>
          <w:b/>
          <w:shd w:val="clear" w:color="auto" w:fill="FFFFFF"/>
        </w:rPr>
        <w:t>atividades econômicas ou associativas</w:t>
      </w:r>
      <w:r w:rsidR="00237195">
        <w:rPr>
          <w:b/>
          <w:shd w:val="clear" w:color="auto" w:fill="FFFFFF"/>
        </w:rPr>
        <w:t xml:space="preserve"> e dando outras providências.</w:t>
      </w:r>
    </w:p>
    <w:p w14:paraId="35439306" w14:textId="77777777" w:rsidR="00070359" w:rsidRPr="00F431E8" w:rsidRDefault="00070359" w:rsidP="00070359">
      <w:pPr>
        <w:jc w:val="both"/>
        <w:rPr>
          <w:b/>
          <w:shd w:val="clear" w:color="auto" w:fill="FFFFFF"/>
        </w:rPr>
      </w:pPr>
    </w:p>
    <w:p w14:paraId="7F3757DD" w14:textId="77777777" w:rsidR="000D46D1" w:rsidRDefault="000D46D1" w:rsidP="000D46D1">
      <w:pPr>
        <w:jc w:val="center"/>
      </w:pPr>
    </w:p>
    <w:p w14:paraId="0932AF27" w14:textId="77777777" w:rsidR="000D46D1" w:rsidRDefault="000D46D1" w:rsidP="000D46D1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78761400" w14:textId="77777777" w:rsidR="000D46D1" w:rsidRDefault="000D46D1" w:rsidP="000D46D1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7C6C127C" w14:textId="77777777" w:rsidR="00070359" w:rsidRPr="00690E42" w:rsidRDefault="00070359" w:rsidP="00070359">
      <w:pPr>
        <w:jc w:val="both"/>
        <w:rPr>
          <w:b/>
          <w:shd w:val="clear" w:color="auto" w:fill="FFFFFF"/>
        </w:rPr>
      </w:pPr>
    </w:p>
    <w:p w14:paraId="2EB4E464" w14:textId="67C0522E" w:rsidR="00D0356F" w:rsidRDefault="00070359" w:rsidP="00D0356F">
      <w:pPr>
        <w:ind w:firstLine="1418"/>
        <w:jc w:val="both"/>
      </w:pPr>
      <w:r>
        <w:rPr>
          <w:b/>
          <w:shd w:val="clear" w:color="auto" w:fill="FFFFFF"/>
        </w:rPr>
        <w:t>Art. 1</w:t>
      </w:r>
      <w:r w:rsidRPr="00690E42">
        <w:rPr>
          <w:b/>
          <w:shd w:val="clear" w:color="auto" w:fill="FFFFFF"/>
        </w:rPr>
        <w:t>º</w:t>
      </w:r>
      <w:proofErr w:type="gramStart"/>
      <w:r>
        <w:rPr>
          <w:b/>
          <w:shd w:val="clear" w:color="auto" w:fill="FFFFFF"/>
        </w:rPr>
        <w:t xml:space="preserve">  </w:t>
      </w:r>
      <w:proofErr w:type="gramEnd"/>
      <w:r w:rsidR="00D0356F" w:rsidRPr="007B1082">
        <w:t xml:space="preserve">Fica </w:t>
      </w:r>
      <w:r w:rsidR="00D0356F">
        <w:t xml:space="preserve">incluído </w:t>
      </w:r>
      <w:r w:rsidR="00D0356F" w:rsidRPr="00EB3EC0">
        <w:t>Capítulo V</w:t>
      </w:r>
      <w:r w:rsidR="00D0356F">
        <w:t>-A</w:t>
      </w:r>
      <w:r w:rsidR="00722E90">
        <w:t xml:space="preserve">, com </w:t>
      </w:r>
      <w:proofErr w:type="spellStart"/>
      <w:r w:rsidR="00722E90">
        <w:t>arts</w:t>
      </w:r>
      <w:proofErr w:type="spellEnd"/>
      <w:r w:rsidR="00722E90">
        <w:t>. 29-</w:t>
      </w:r>
      <w:proofErr w:type="gramStart"/>
      <w:r w:rsidR="00722E90">
        <w:t>A a</w:t>
      </w:r>
      <w:proofErr w:type="gramEnd"/>
      <w:r w:rsidR="00722E90">
        <w:t xml:space="preserve"> 29-E,</w:t>
      </w:r>
      <w:r w:rsidR="00D0356F" w:rsidRPr="00EB3EC0">
        <w:t xml:space="preserve"> na</w:t>
      </w:r>
      <w:r w:rsidR="00D0356F">
        <w:t xml:space="preserve"> Lei Complementar nº 12, de 7 de janeiro de 1975, </w:t>
      </w:r>
      <w:r w:rsidR="000F13B1">
        <w:t xml:space="preserve">e alterações posteriores, </w:t>
      </w:r>
      <w:r w:rsidR="00D0356F">
        <w:t xml:space="preserve">conforme segue: </w:t>
      </w:r>
    </w:p>
    <w:p w14:paraId="6CAA8EE4" w14:textId="77777777" w:rsidR="00D0356F" w:rsidRDefault="00D0356F" w:rsidP="00D0356F">
      <w:pPr>
        <w:ind w:firstLine="1418"/>
        <w:jc w:val="both"/>
      </w:pPr>
    </w:p>
    <w:p w14:paraId="6638B45E" w14:textId="70FA347F" w:rsidR="00D0356F" w:rsidRDefault="00D0356F" w:rsidP="00D0356F">
      <w:pPr>
        <w:jc w:val="center"/>
      </w:pPr>
      <w:proofErr w:type="gramStart"/>
      <w:r>
        <w:t>“CAPÍTULO V-A</w:t>
      </w:r>
    </w:p>
    <w:p w14:paraId="286C5796" w14:textId="77777777" w:rsidR="00D0356F" w:rsidRDefault="00D0356F" w:rsidP="00D0356F">
      <w:pPr>
        <w:jc w:val="center"/>
      </w:pPr>
      <w:proofErr w:type="gramEnd"/>
      <w:r>
        <w:t>DAS ATIVIDADES ECONÔMICAS OU ASSOCIATIVAS</w:t>
      </w:r>
    </w:p>
    <w:p w14:paraId="5F68DC5F" w14:textId="77777777" w:rsidR="00D0356F" w:rsidRDefault="00D0356F" w:rsidP="00D0356F">
      <w:pPr>
        <w:ind w:firstLine="1418"/>
        <w:jc w:val="both"/>
      </w:pPr>
    </w:p>
    <w:p w14:paraId="54DB2245" w14:textId="581D93A3" w:rsidR="00D0356F" w:rsidRDefault="00D0356F" w:rsidP="00D0356F">
      <w:pPr>
        <w:ind w:firstLine="1418"/>
        <w:jc w:val="both"/>
      </w:pPr>
      <w:r>
        <w:t>Art. 29-A.</w:t>
      </w:r>
      <w:proofErr w:type="gramStart"/>
      <w:r>
        <w:t xml:space="preserve">  </w:t>
      </w:r>
      <w:proofErr w:type="gramEnd"/>
      <w:r w:rsidRPr="007F1219">
        <w:t>É livre o exercício da atividade econômica e associativa localizada, observados os casos em que a lei exigir atos públicos de liberação da atividade na forma regulamentada pelo Executivo</w:t>
      </w:r>
      <w:r w:rsidR="00BB594C">
        <w:t xml:space="preserve"> Municipal</w:t>
      </w:r>
      <w:r w:rsidRPr="007F1219">
        <w:t>, sendo que em nenhuma hipótese tais atos serão exigidos para a liberação de atividades de baixo risco</w:t>
      </w:r>
      <w:r>
        <w:t>.</w:t>
      </w:r>
    </w:p>
    <w:p w14:paraId="75BE9145" w14:textId="77777777" w:rsidR="00D0356F" w:rsidRDefault="00D0356F" w:rsidP="00D0356F">
      <w:pPr>
        <w:ind w:firstLine="1418"/>
        <w:jc w:val="both"/>
      </w:pPr>
    </w:p>
    <w:p w14:paraId="2AD80CF6" w14:textId="5870BD89" w:rsidR="00D0356F" w:rsidRDefault="00D0356F" w:rsidP="00D0356F">
      <w:pPr>
        <w:ind w:firstLine="1418"/>
        <w:jc w:val="both"/>
      </w:pPr>
      <w:r>
        <w:lastRenderedPageBreak/>
        <w:t>§ 1º</w:t>
      </w:r>
      <w:proofErr w:type="gramStart"/>
      <w:r>
        <w:t xml:space="preserve">  </w:t>
      </w:r>
      <w:proofErr w:type="gramEnd"/>
      <w:r w:rsidRPr="00D84116">
        <w:t>As atividades da União, do Estado, do Município</w:t>
      </w:r>
      <w:r w:rsidR="00B60A9F">
        <w:t>,</w:t>
      </w:r>
      <w:r w:rsidR="007C5DE2">
        <w:t xml:space="preserve"> </w:t>
      </w:r>
      <w:r w:rsidRPr="00D84116">
        <w:t xml:space="preserve">das entidades paraestatais, os  templos, as igrejas, as sedes de partidos políticos, os sindicatos, as federações ou confederações são dispensados de atos públicos de liberação da atividade, bem como as </w:t>
      </w:r>
      <w:r w:rsidR="00CD50B5">
        <w:t xml:space="preserve">atividades </w:t>
      </w:r>
      <w:r w:rsidRPr="00D84116">
        <w:t xml:space="preserve">desenvolvidas de forma automatizada </w:t>
      </w:r>
      <w:r w:rsidR="00CD50B5">
        <w:t>por meio</w:t>
      </w:r>
      <w:r w:rsidR="00CD50B5" w:rsidRPr="00D84116">
        <w:t xml:space="preserve"> </w:t>
      </w:r>
      <w:r w:rsidRPr="00D84116">
        <w:t>de autoatendimento, sem suporte humano e permanência de público no local</w:t>
      </w:r>
      <w:r>
        <w:t>.</w:t>
      </w:r>
    </w:p>
    <w:p w14:paraId="3D760DD0" w14:textId="77777777" w:rsidR="00D0356F" w:rsidRDefault="00D0356F" w:rsidP="00D0356F">
      <w:pPr>
        <w:ind w:firstLine="1418"/>
        <w:jc w:val="both"/>
      </w:pPr>
    </w:p>
    <w:p w14:paraId="74FCB33C" w14:textId="77777777" w:rsidR="00D0356F" w:rsidRDefault="00D0356F" w:rsidP="00D0356F">
      <w:pPr>
        <w:ind w:firstLine="1418"/>
        <w:jc w:val="both"/>
      </w:pPr>
      <w:r>
        <w:t>§ 2º</w:t>
      </w:r>
      <w:proofErr w:type="gramStart"/>
      <w:r>
        <w:t xml:space="preserve">  </w:t>
      </w:r>
      <w:proofErr w:type="gramEnd"/>
      <w:r>
        <w:t>A liberação da atividade de comércio ou de prestação de serviço ambulante ou transitório reger-se-á por normativa própria.</w:t>
      </w:r>
    </w:p>
    <w:p w14:paraId="1D74FA5D" w14:textId="77777777" w:rsidR="00D0356F" w:rsidRDefault="00D0356F" w:rsidP="00D0356F">
      <w:pPr>
        <w:ind w:firstLine="1418"/>
        <w:jc w:val="both"/>
      </w:pPr>
    </w:p>
    <w:p w14:paraId="2BB5751D" w14:textId="59B1EF4E" w:rsidR="00D0356F" w:rsidRDefault="00D0356F" w:rsidP="00D0356F">
      <w:pPr>
        <w:ind w:firstLine="1418"/>
        <w:jc w:val="both"/>
      </w:pPr>
      <w:r>
        <w:t>Art. 29-B.</w:t>
      </w:r>
      <w:proofErr w:type="gramStart"/>
      <w:r>
        <w:t xml:space="preserve">  </w:t>
      </w:r>
      <w:proofErr w:type="gramEnd"/>
      <w:r>
        <w:t>Nos casos em que a lei exigir atos públicos de liberação da atividade</w:t>
      </w:r>
      <w:r w:rsidR="00C3371F">
        <w:t>,</w:t>
      </w:r>
      <w:r>
        <w:t xml:space="preserve"> poderão ser emitidos:</w:t>
      </w:r>
    </w:p>
    <w:p w14:paraId="6B5A9D45" w14:textId="77777777" w:rsidR="00D0356F" w:rsidRDefault="00D0356F" w:rsidP="00D0356F">
      <w:pPr>
        <w:ind w:firstLine="1418"/>
        <w:jc w:val="both"/>
      </w:pPr>
    </w:p>
    <w:p w14:paraId="0E5041B4" w14:textId="2BD9FB5B" w:rsidR="00D0356F" w:rsidRDefault="00D0356F" w:rsidP="00D0356F">
      <w:pPr>
        <w:ind w:firstLine="1418"/>
        <w:jc w:val="both"/>
      </w:pPr>
      <w:r>
        <w:t>I – o Alvará de Localização e Funcionamento para as atividades econômicas e associativas localizadas;</w:t>
      </w:r>
      <w:r w:rsidR="00C25B99">
        <w:t xml:space="preserve"> </w:t>
      </w:r>
      <w:proofErr w:type="gramStart"/>
      <w:r w:rsidR="00C25B99">
        <w:t>ou</w:t>
      </w:r>
      <w:proofErr w:type="gramEnd"/>
    </w:p>
    <w:p w14:paraId="37F53D94" w14:textId="77777777" w:rsidR="00D0356F" w:rsidRDefault="00D0356F" w:rsidP="00D0356F">
      <w:pPr>
        <w:ind w:firstLine="1418"/>
        <w:jc w:val="both"/>
      </w:pPr>
    </w:p>
    <w:p w14:paraId="56483087" w14:textId="77777777" w:rsidR="00D0356F" w:rsidRDefault="00D0356F" w:rsidP="00D0356F">
      <w:pPr>
        <w:ind w:firstLine="1418"/>
        <w:jc w:val="both"/>
      </w:pPr>
      <w:r>
        <w:t>II – o Alvará de Localização de Ponto de Referência, quando a atividade econômica for realizada sem endereço certo.</w:t>
      </w:r>
    </w:p>
    <w:p w14:paraId="2A7A9C1D" w14:textId="77777777" w:rsidR="00D0356F" w:rsidRDefault="00D0356F" w:rsidP="00D0356F">
      <w:pPr>
        <w:ind w:firstLine="1418"/>
        <w:jc w:val="both"/>
      </w:pPr>
    </w:p>
    <w:p w14:paraId="3CC3BBAF" w14:textId="77777777" w:rsidR="00D0356F" w:rsidRDefault="00D0356F" w:rsidP="00D0356F">
      <w:pPr>
        <w:ind w:firstLine="1418"/>
        <w:jc w:val="both"/>
      </w:pPr>
      <w:r>
        <w:t>§ 1º</w:t>
      </w:r>
      <w:proofErr w:type="gramStart"/>
      <w:r>
        <w:t xml:space="preserve">  </w:t>
      </w:r>
      <w:proofErr w:type="gramEnd"/>
      <w:r>
        <w:t>Devem constar nos Alvarás:</w:t>
      </w:r>
    </w:p>
    <w:p w14:paraId="3C03F66D" w14:textId="77777777" w:rsidR="00D0356F" w:rsidRDefault="00D0356F" w:rsidP="00D0356F">
      <w:pPr>
        <w:ind w:firstLine="1418"/>
        <w:jc w:val="both"/>
      </w:pPr>
    </w:p>
    <w:p w14:paraId="7F1182DE" w14:textId="77777777" w:rsidR="00D0356F" w:rsidRDefault="00D0356F" w:rsidP="00D0356F">
      <w:pPr>
        <w:ind w:firstLine="1418"/>
        <w:jc w:val="both"/>
      </w:pPr>
      <w:r>
        <w:t>I – localização do estabelecimento;</w:t>
      </w:r>
    </w:p>
    <w:p w14:paraId="5DD68598" w14:textId="77777777" w:rsidR="00D0356F" w:rsidRDefault="00D0356F" w:rsidP="00D0356F">
      <w:pPr>
        <w:ind w:firstLine="1418"/>
        <w:jc w:val="both"/>
      </w:pPr>
    </w:p>
    <w:p w14:paraId="09CFF74E" w14:textId="77777777" w:rsidR="00D0356F" w:rsidRDefault="00D0356F" w:rsidP="00D0356F">
      <w:pPr>
        <w:ind w:firstLine="1418"/>
        <w:jc w:val="both"/>
      </w:pPr>
      <w:r>
        <w:t>II – número de Cadastro Nacional da Pessoa Jurídica (CNPJ) responsável pelo estabelecimento ou Cadastro de Pessoa Física (CPF);</w:t>
      </w:r>
    </w:p>
    <w:p w14:paraId="0A4F3212" w14:textId="77777777" w:rsidR="00D0356F" w:rsidRDefault="00D0356F" w:rsidP="00D0356F">
      <w:pPr>
        <w:ind w:firstLine="1418"/>
        <w:jc w:val="both"/>
      </w:pPr>
    </w:p>
    <w:p w14:paraId="1B40A200" w14:textId="77777777" w:rsidR="00D0356F" w:rsidRDefault="00D0356F" w:rsidP="00D0356F">
      <w:pPr>
        <w:ind w:firstLine="1418"/>
        <w:jc w:val="both"/>
      </w:pPr>
      <w:r>
        <w:t>III – atividade; e</w:t>
      </w:r>
    </w:p>
    <w:p w14:paraId="19939C17" w14:textId="77777777" w:rsidR="00D0356F" w:rsidRDefault="00D0356F" w:rsidP="00D0356F">
      <w:pPr>
        <w:ind w:firstLine="1418"/>
        <w:jc w:val="both"/>
      </w:pPr>
    </w:p>
    <w:p w14:paraId="4ED7D9C6" w14:textId="77777777" w:rsidR="00D0356F" w:rsidRDefault="00D0356F" w:rsidP="00D0356F">
      <w:pPr>
        <w:ind w:firstLine="1418"/>
        <w:jc w:val="both"/>
      </w:pPr>
      <w:r>
        <w:t>IV – prazo de vencimento</w:t>
      </w:r>
      <w:proofErr w:type="gramStart"/>
      <w:r>
        <w:t>, se houver</w:t>
      </w:r>
      <w:proofErr w:type="gramEnd"/>
      <w:r>
        <w:t>.</w:t>
      </w:r>
    </w:p>
    <w:p w14:paraId="49CA5C58" w14:textId="77777777" w:rsidR="00D0356F" w:rsidRPr="00885854" w:rsidRDefault="00D0356F" w:rsidP="00D0356F">
      <w:pPr>
        <w:jc w:val="both"/>
      </w:pPr>
    </w:p>
    <w:p w14:paraId="73456685" w14:textId="19EE71E4" w:rsidR="00D0356F" w:rsidRPr="00885854" w:rsidRDefault="00D0356F" w:rsidP="00D0356F">
      <w:pPr>
        <w:ind w:firstLine="1418"/>
        <w:jc w:val="both"/>
      </w:pPr>
      <w:r w:rsidRPr="00885854">
        <w:t xml:space="preserve">§ </w:t>
      </w:r>
      <w:r w:rsidR="00955845">
        <w:t>2</w:t>
      </w:r>
      <w:r w:rsidRPr="00885854">
        <w:t>º</w:t>
      </w:r>
      <w:proofErr w:type="gramStart"/>
      <w:r w:rsidRPr="00885854">
        <w:t xml:space="preserve"> </w:t>
      </w:r>
      <w:r>
        <w:t xml:space="preserve"> </w:t>
      </w:r>
      <w:proofErr w:type="gramEnd"/>
      <w:r>
        <w:t xml:space="preserve">Quando no mesmo estabelecimento forem exercidas atividades dispensadas de atos públicos de liberação cumuladas com atividades que exijam ato público de liberação, apenas estas últimas deverão constar do </w:t>
      </w:r>
      <w:r w:rsidR="0056755D">
        <w:t>A</w:t>
      </w:r>
      <w:r>
        <w:t>lvará.</w:t>
      </w:r>
    </w:p>
    <w:p w14:paraId="487AF241" w14:textId="77777777" w:rsidR="00D0356F" w:rsidRPr="00885854" w:rsidRDefault="00D0356F" w:rsidP="00D0356F">
      <w:pPr>
        <w:ind w:firstLine="1418"/>
        <w:jc w:val="both"/>
      </w:pPr>
    </w:p>
    <w:p w14:paraId="2FAC7DDB" w14:textId="6B93E95A" w:rsidR="00D0356F" w:rsidRPr="00885854" w:rsidRDefault="00D0356F" w:rsidP="00D0356F">
      <w:pPr>
        <w:tabs>
          <w:tab w:val="left" w:pos="1418"/>
        </w:tabs>
        <w:ind w:firstLine="1418"/>
        <w:jc w:val="both"/>
      </w:pPr>
      <w:r w:rsidRPr="00885854">
        <w:t xml:space="preserve">§ </w:t>
      </w:r>
      <w:r w:rsidR="00955845">
        <w:t>3</w:t>
      </w:r>
      <w:r w:rsidRPr="00885854">
        <w:t>º</w:t>
      </w:r>
      <w:proofErr w:type="gramStart"/>
      <w:r w:rsidRPr="00885854">
        <w:t xml:space="preserve"> </w:t>
      </w:r>
      <w:r>
        <w:t xml:space="preserve"> </w:t>
      </w:r>
      <w:proofErr w:type="gramEnd"/>
      <w:r w:rsidRPr="00885854">
        <w:t xml:space="preserve">As condições </w:t>
      </w:r>
      <w:r>
        <w:t xml:space="preserve">legais </w:t>
      </w:r>
      <w:r w:rsidRPr="00885854">
        <w:t>para o exercício da atividade não necessitam estar descritas no Alvará de Localização e Funcionamento</w:t>
      </w:r>
      <w:r>
        <w:t>, sem prejuízo da necessidade de seu cumprimento.</w:t>
      </w:r>
    </w:p>
    <w:p w14:paraId="07651706" w14:textId="77777777" w:rsidR="00D0356F" w:rsidRPr="00885854" w:rsidRDefault="00D0356F" w:rsidP="00D0356F">
      <w:pPr>
        <w:ind w:firstLine="1418"/>
        <w:jc w:val="both"/>
      </w:pPr>
    </w:p>
    <w:p w14:paraId="4C30FA33" w14:textId="63BC21F5" w:rsidR="00D0356F" w:rsidRPr="00885854" w:rsidRDefault="00D0356F" w:rsidP="00D0356F">
      <w:pPr>
        <w:ind w:firstLine="1418"/>
        <w:jc w:val="both"/>
      </w:pPr>
      <w:r w:rsidRPr="00885854">
        <w:t xml:space="preserve">§ </w:t>
      </w:r>
      <w:r w:rsidR="00955845">
        <w:t>4</w:t>
      </w:r>
      <w:r w:rsidRPr="00885854">
        <w:t>º</w:t>
      </w:r>
      <w:proofErr w:type="gramStart"/>
      <w:r w:rsidRPr="00885854">
        <w:t xml:space="preserve"> </w:t>
      </w:r>
      <w:r>
        <w:t xml:space="preserve"> </w:t>
      </w:r>
      <w:proofErr w:type="gramEnd"/>
      <w:r w:rsidRPr="00885854">
        <w:t>As disposições contidas nes</w:t>
      </w:r>
      <w:r w:rsidR="000D0433">
        <w:t>t</w:t>
      </w:r>
      <w:r w:rsidRPr="00885854">
        <w:t xml:space="preserve">a </w:t>
      </w:r>
      <w:r>
        <w:t>Lei C</w:t>
      </w:r>
      <w:r w:rsidRPr="00885854">
        <w:t>omplementar para o Alvará de Localização e Funcionamento aplicam-se, naquilo que couber, ao Alvará de Localização</w:t>
      </w:r>
      <w:r>
        <w:t xml:space="preserve"> de Ponto de Referência</w:t>
      </w:r>
      <w:r w:rsidRPr="00885854">
        <w:t>.</w:t>
      </w:r>
    </w:p>
    <w:p w14:paraId="0DFB5923" w14:textId="77777777" w:rsidR="00D0356F" w:rsidRPr="00885854" w:rsidRDefault="00D0356F" w:rsidP="00D0356F">
      <w:pPr>
        <w:ind w:firstLine="1418"/>
        <w:jc w:val="both"/>
      </w:pPr>
    </w:p>
    <w:p w14:paraId="7E9748B0" w14:textId="436F9EDA" w:rsidR="00D0356F" w:rsidRPr="00885854" w:rsidRDefault="00D0356F" w:rsidP="00D0356F">
      <w:pPr>
        <w:ind w:firstLine="1418"/>
        <w:jc w:val="both"/>
      </w:pPr>
      <w:r w:rsidRPr="00885854">
        <w:t xml:space="preserve">§ </w:t>
      </w:r>
      <w:r w:rsidR="00955845">
        <w:t>5</w:t>
      </w:r>
      <w:r w:rsidRPr="00885854">
        <w:t>º</w:t>
      </w:r>
      <w:proofErr w:type="gramStart"/>
      <w:r w:rsidRPr="00885854">
        <w:t xml:space="preserve"> </w:t>
      </w:r>
      <w:r>
        <w:t xml:space="preserve"> </w:t>
      </w:r>
      <w:proofErr w:type="gramEnd"/>
      <w:r w:rsidRPr="00885854">
        <w:t xml:space="preserve">O Alvará de Localização e Funcionamento será </w:t>
      </w:r>
      <w:r>
        <w:t>cancelado</w:t>
      </w:r>
      <w:r w:rsidRPr="00885854">
        <w:t>:</w:t>
      </w:r>
    </w:p>
    <w:p w14:paraId="0CCC71E4" w14:textId="77777777" w:rsidR="00D0356F" w:rsidRDefault="00D0356F" w:rsidP="00D0356F">
      <w:pPr>
        <w:ind w:firstLine="1418"/>
        <w:jc w:val="both"/>
      </w:pPr>
    </w:p>
    <w:p w14:paraId="1A39E550" w14:textId="77777777" w:rsidR="00D0356F" w:rsidRDefault="00D0356F" w:rsidP="00D0356F">
      <w:pPr>
        <w:ind w:firstLine="1418"/>
        <w:jc w:val="both"/>
      </w:pPr>
      <w:r>
        <w:t>I – por requerimento do responsável pelo estabelecimento;</w:t>
      </w:r>
    </w:p>
    <w:p w14:paraId="3A1EEB5B" w14:textId="77777777" w:rsidR="00D0356F" w:rsidRDefault="00D0356F" w:rsidP="00D0356F">
      <w:pPr>
        <w:ind w:firstLine="1418"/>
        <w:jc w:val="both"/>
      </w:pPr>
    </w:p>
    <w:p w14:paraId="4F37CBDD" w14:textId="77777777" w:rsidR="00D0356F" w:rsidRDefault="00D0356F" w:rsidP="00D0356F">
      <w:pPr>
        <w:ind w:firstLine="1418"/>
        <w:jc w:val="both"/>
      </w:pPr>
      <w:r>
        <w:lastRenderedPageBreak/>
        <w:t>II – após a decisão final de interdição da atividade, após o devido processo administrativo na forma da lei;</w:t>
      </w:r>
    </w:p>
    <w:p w14:paraId="2A94B3E7" w14:textId="77777777" w:rsidR="00D0356F" w:rsidRDefault="00D0356F" w:rsidP="00D0356F">
      <w:pPr>
        <w:ind w:firstLine="1418"/>
        <w:jc w:val="both"/>
      </w:pPr>
    </w:p>
    <w:p w14:paraId="25C67DDC" w14:textId="799335C1" w:rsidR="00D0356F" w:rsidRDefault="00D0356F" w:rsidP="00D0356F">
      <w:pPr>
        <w:ind w:firstLine="1418"/>
        <w:jc w:val="both"/>
      </w:pPr>
      <w:r>
        <w:t xml:space="preserve">III – </w:t>
      </w:r>
      <w:r w:rsidRPr="000D504C">
        <w:t>por solicitação da autoridade competente, provados os motivos</w:t>
      </w:r>
      <w:r>
        <w:t xml:space="preserve"> que fundamentam a solicitação, após o devido processo administrativo na forma da lei;</w:t>
      </w:r>
      <w:r w:rsidR="000C2177">
        <w:t xml:space="preserve"> </w:t>
      </w:r>
      <w:proofErr w:type="gramStart"/>
      <w:r w:rsidR="000C2177">
        <w:t>ou</w:t>
      </w:r>
      <w:proofErr w:type="gramEnd"/>
    </w:p>
    <w:p w14:paraId="4AD72BB3" w14:textId="77777777" w:rsidR="00D0356F" w:rsidRDefault="00D0356F" w:rsidP="00D0356F">
      <w:pPr>
        <w:ind w:firstLine="1418"/>
        <w:jc w:val="both"/>
      </w:pPr>
    </w:p>
    <w:p w14:paraId="3BB45682" w14:textId="77777777" w:rsidR="00D0356F" w:rsidRPr="00EA0111" w:rsidRDefault="00D0356F" w:rsidP="00D0356F">
      <w:pPr>
        <w:ind w:firstLine="1418"/>
        <w:jc w:val="both"/>
      </w:pPr>
      <w:r w:rsidRPr="00EA0111">
        <w:t xml:space="preserve">IV </w:t>
      </w:r>
      <w:r>
        <w:t>–</w:t>
      </w:r>
      <w:r w:rsidRPr="00EA0111">
        <w:t xml:space="preserve"> como medida preventiva, para evitar danos à saúde pública e à segurança pública.</w:t>
      </w:r>
    </w:p>
    <w:p w14:paraId="106782F6" w14:textId="77777777" w:rsidR="00D0356F" w:rsidRDefault="00D0356F" w:rsidP="00D0356F">
      <w:pPr>
        <w:jc w:val="both"/>
      </w:pPr>
    </w:p>
    <w:p w14:paraId="6E17C0A6" w14:textId="77777777" w:rsidR="00D0356F" w:rsidRDefault="00D0356F" w:rsidP="00D0356F">
      <w:pPr>
        <w:ind w:firstLine="1418"/>
        <w:jc w:val="both"/>
      </w:pPr>
      <w:r w:rsidRPr="00047961">
        <w:t xml:space="preserve">Art. </w:t>
      </w:r>
      <w:r>
        <w:t>29-C.</w:t>
      </w:r>
      <w:proofErr w:type="gramStart"/>
      <w:r>
        <w:t xml:space="preserve"> </w:t>
      </w:r>
      <w:r w:rsidRPr="00047961">
        <w:t xml:space="preserve"> </w:t>
      </w:r>
      <w:proofErr w:type="gramEnd"/>
      <w:r w:rsidRPr="00047961">
        <w:t>A</w:t>
      </w:r>
      <w:r>
        <w:t xml:space="preserve"> ausência do Alvará de Localização e Funcionamento para a atividade econômica ou</w:t>
      </w:r>
      <w:r w:rsidRPr="005027E9">
        <w:t xml:space="preserve"> associativa </w:t>
      </w:r>
      <w:r>
        <w:t>que exija ato público de liberação é considerada infração e, respeitada a ampla defesa e o contraditório, aplicar-se-á ao infrator responsável pela atividade, mediante processo administrativo na forma da lei:</w:t>
      </w:r>
    </w:p>
    <w:p w14:paraId="2046A3BB" w14:textId="77777777" w:rsidR="00D0356F" w:rsidRDefault="00D0356F" w:rsidP="00D0356F">
      <w:pPr>
        <w:ind w:firstLine="1418"/>
        <w:jc w:val="both"/>
      </w:pPr>
    </w:p>
    <w:p w14:paraId="5104077D" w14:textId="77777777" w:rsidR="00D0356F" w:rsidRDefault="00D0356F" w:rsidP="00D0356F">
      <w:pPr>
        <w:ind w:firstLine="1418"/>
        <w:jc w:val="both"/>
      </w:pPr>
      <w:r>
        <w:t>I – se a atividade for considerada de médio risco, observado o critério de dupla visita,</w:t>
      </w:r>
      <w:r w:rsidRPr="000B6CA3">
        <w:t xml:space="preserve"> </w:t>
      </w:r>
      <w:r>
        <w:t>a penalidade de:</w:t>
      </w:r>
    </w:p>
    <w:p w14:paraId="22A015FC" w14:textId="77777777" w:rsidR="00D0356F" w:rsidRDefault="00D0356F" w:rsidP="00D0356F">
      <w:pPr>
        <w:ind w:firstLine="1417"/>
        <w:jc w:val="both"/>
      </w:pPr>
    </w:p>
    <w:p w14:paraId="72783AA3" w14:textId="20C6F631" w:rsidR="00D0356F" w:rsidRPr="002D78BA" w:rsidRDefault="00D0356F" w:rsidP="00D0356F">
      <w:pPr>
        <w:ind w:firstLine="1417"/>
        <w:jc w:val="both"/>
        <w:rPr>
          <w:spacing w:val="-4"/>
        </w:rPr>
      </w:pPr>
      <w:r w:rsidRPr="002D78BA">
        <w:rPr>
          <w:spacing w:val="-4"/>
        </w:rPr>
        <w:t xml:space="preserve">a) interdição da atividade irregularmente exercida, e multa de 300 (trezentas) </w:t>
      </w:r>
      <w:proofErr w:type="spellStart"/>
      <w:r w:rsidRPr="002D78BA">
        <w:rPr>
          <w:spacing w:val="-4"/>
        </w:rPr>
        <w:t>UFMs</w:t>
      </w:r>
      <w:proofErr w:type="spellEnd"/>
      <w:r w:rsidRPr="002D78BA">
        <w:rPr>
          <w:spacing w:val="-4"/>
        </w:rPr>
        <w:t>;</w:t>
      </w:r>
      <w:r w:rsidR="006D7C04" w:rsidRPr="002D78BA">
        <w:rPr>
          <w:spacing w:val="-4"/>
        </w:rPr>
        <w:t xml:space="preserve"> </w:t>
      </w:r>
      <w:proofErr w:type="gramStart"/>
      <w:r w:rsidR="006D7C04" w:rsidRPr="002D78BA">
        <w:rPr>
          <w:spacing w:val="-4"/>
        </w:rPr>
        <w:t>e</w:t>
      </w:r>
      <w:proofErr w:type="gramEnd"/>
    </w:p>
    <w:p w14:paraId="096E741B" w14:textId="77777777" w:rsidR="00D0356F" w:rsidRPr="002D78BA" w:rsidRDefault="00D0356F" w:rsidP="00D0356F">
      <w:pPr>
        <w:ind w:firstLine="1417"/>
        <w:jc w:val="both"/>
        <w:rPr>
          <w:spacing w:val="-4"/>
        </w:rPr>
      </w:pPr>
    </w:p>
    <w:p w14:paraId="6D68F112" w14:textId="43DEDED9" w:rsidR="00D0356F" w:rsidRDefault="00D0356F" w:rsidP="00D0356F">
      <w:pPr>
        <w:ind w:firstLine="1417"/>
        <w:jc w:val="both"/>
      </w:pPr>
      <w:r w:rsidRPr="002D78BA">
        <w:rPr>
          <w:spacing w:val="-4"/>
        </w:rPr>
        <w:t xml:space="preserve">b) no caso de reincidência, a interdição de todas as atividades do estabelecimento e multa de 301 (trezentas e uma) </w:t>
      </w:r>
      <w:proofErr w:type="spellStart"/>
      <w:r w:rsidRPr="002D78BA">
        <w:rPr>
          <w:spacing w:val="-4"/>
        </w:rPr>
        <w:t>UFMs</w:t>
      </w:r>
      <w:proofErr w:type="spellEnd"/>
      <w:r w:rsidRPr="002D78BA">
        <w:rPr>
          <w:spacing w:val="-4"/>
        </w:rPr>
        <w:t xml:space="preserve"> a 1.000 (mil) </w:t>
      </w:r>
      <w:proofErr w:type="spellStart"/>
      <w:r w:rsidRPr="002D78BA">
        <w:rPr>
          <w:spacing w:val="-4"/>
        </w:rPr>
        <w:t>UFMs</w:t>
      </w:r>
      <w:proofErr w:type="spellEnd"/>
      <w:r w:rsidRPr="002D78BA">
        <w:rPr>
          <w:spacing w:val="-4"/>
        </w:rPr>
        <w:t>, observadas as agravantes e atenuantes;</w:t>
      </w:r>
      <w:r w:rsidR="006D7C04" w:rsidRPr="002D78BA">
        <w:rPr>
          <w:spacing w:val="-4"/>
        </w:rPr>
        <w:t xml:space="preserve"> </w:t>
      </w:r>
      <w:proofErr w:type="gramStart"/>
      <w:r w:rsidR="006D7C04" w:rsidRPr="002D78BA">
        <w:rPr>
          <w:spacing w:val="-4"/>
        </w:rPr>
        <w:t>ou</w:t>
      </w:r>
      <w:proofErr w:type="gramEnd"/>
    </w:p>
    <w:p w14:paraId="6DF52165" w14:textId="77777777" w:rsidR="00D0356F" w:rsidRDefault="00D0356F" w:rsidP="00D0356F">
      <w:pPr>
        <w:ind w:firstLine="1417"/>
        <w:jc w:val="both"/>
      </w:pPr>
    </w:p>
    <w:p w14:paraId="700F0238" w14:textId="77777777" w:rsidR="00D0356F" w:rsidRDefault="00D0356F" w:rsidP="00D0356F">
      <w:pPr>
        <w:ind w:firstLine="1418"/>
        <w:jc w:val="both"/>
      </w:pPr>
      <w:r>
        <w:t>II – se a atividade for considerada de alto risco, a penalidade de:</w:t>
      </w:r>
    </w:p>
    <w:p w14:paraId="0AD51928" w14:textId="77777777" w:rsidR="00D0356F" w:rsidRDefault="00D0356F" w:rsidP="00D0356F">
      <w:pPr>
        <w:ind w:firstLine="1418"/>
        <w:jc w:val="both"/>
      </w:pPr>
    </w:p>
    <w:p w14:paraId="2C32BBEB" w14:textId="5817FCE1" w:rsidR="00D0356F" w:rsidRDefault="00D0356F" w:rsidP="00D0356F">
      <w:pPr>
        <w:ind w:firstLine="1418"/>
        <w:jc w:val="both"/>
      </w:pPr>
      <w:r>
        <w:t xml:space="preserve">a) interdição da atividade irregularmente exercida e multa de 500 (quinhentas) </w:t>
      </w:r>
      <w:proofErr w:type="spellStart"/>
      <w:r>
        <w:t>UFMs</w:t>
      </w:r>
      <w:proofErr w:type="spellEnd"/>
      <w:r>
        <w:t xml:space="preserve"> a 2.000 (duas mil) </w:t>
      </w:r>
      <w:proofErr w:type="spellStart"/>
      <w:r>
        <w:t>UFMs</w:t>
      </w:r>
      <w:proofErr w:type="spellEnd"/>
      <w:r>
        <w:t xml:space="preserve">, observadas as agravantes e atenuantes; </w:t>
      </w:r>
      <w:proofErr w:type="gramStart"/>
      <w:r w:rsidR="006D7C04">
        <w:t>e</w:t>
      </w:r>
      <w:proofErr w:type="gramEnd"/>
    </w:p>
    <w:p w14:paraId="315FFC8A" w14:textId="77777777" w:rsidR="00D0356F" w:rsidRDefault="00D0356F" w:rsidP="00D0356F">
      <w:pPr>
        <w:ind w:firstLine="1418"/>
        <w:jc w:val="both"/>
      </w:pPr>
    </w:p>
    <w:p w14:paraId="4A680FA0" w14:textId="1060979A" w:rsidR="00D0356F" w:rsidRDefault="00D0356F" w:rsidP="00D0356F">
      <w:pPr>
        <w:ind w:firstLine="1417"/>
        <w:jc w:val="both"/>
      </w:pPr>
      <w:r>
        <w:t xml:space="preserve">b) no caso de reincidência, a interdição de todas as atividades do estabelecimento e multa de 1.000 (mil) </w:t>
      </w:r>
      <w:proofErr w:type="spellStart"/>
      <w:r>
        <w:t>UFMs</w:t>
      </w:r>
      <w:proofErr w:type="spellEnd"/>
      <w:r>
        <w:t xml:space="preserve"> a 5.000 (cinco mil) </w:t>
      </w:r>
      <w:proofErr w:type="spellStart"/>
      <w:r>
        <w:t>UFMs</w:t>
      </w:r>
      <w:proofErr w:type="spellEnd"/>
      <w:r>
        <w:t>, observadas as agravantes e atenuantes</w:t>
      </w:r>
      <w:r w:rsidR="001A0423">
        <w:t>.</w:t>
      </w:r>
    </w:p>
    <w:p w14:paraId="152C50A2" w14:textId="77777777" w:rsidR="00D0356F" w:rsidRDefault="00D0356F" w:rsidP="00D0356F">
      <w:pPr>
        <w:jc w:val="both"/>
      </w:pPr>
    </w:p>
    <w:p w14:paraId="601E12B8" w14:textId="25666FB7" w:rsidR="00D0356F" w:rsidRDefault="00D0356F" w:rsidP="00D0356F">
      <w:pPr>
        <w:ind w:firstLine="1418"/>
        <w:jc w:val="both"/>
      </w:pPr>
      <w:r>
        <w:t>§ 1º</w:t>
      </w:r>
      <w:proofErr w:type="gramStart"/>
      <w:r>
        <w:t xml:space="preserve">  </w:t>
      </w:r>
      <w:proofErr w:type="gramEnd"/>
      <w:r>
        <w:t>Havendo risco grave e iminente, a interdição do exercício de atividades irregulares previstas n</w:t>
      </w:r>
      <w:r w:rsidR="009D2C4C">
        <w:t>a</w:t>
      </w:r>
      <w:r>
        <w:t xml:space="preserve"> al. </w:t>
      </w:r>
      <w:r w:rsidRPr="007C26E7">
        <w:rPr>
          <w:i/>
        </w:rPr>
        <w:t>a</w:t>
      </w:r>
      <w:r>
        <w:t xml:space="preserve"> </w:t>
      </w:r>
      <w:r w:rsidR="009D2C4C">
        <w:t xml:space="preserve">do inc. I </w:t>
      </w:r>
      <w:r>
        <w:t>e n</w:t>
      </w:r>
      <w:r w:rsidR="009D2C4C">
        <w:t xml:space="preserve">a </w:t>
      </w:r>
      <w:r>
        <w:t xml:space="preserve">al. </w:t>
      </w:r>
      <w:r>
        <w:rPr>
          <w:i/>
        </w:rPr>
        <w:t>a</w:t>
      </w:r>
      <w:r w:rsidR="009D2C4C">
        <w:rPr>
          <w:i/>
        </w:rPr>
        <w:t xml:space="preserve"> </w:t>
      </w:r>
      <w:r w:rsidR="009D2C4C">
        <w:rPr>
          <w:iCs/>
        </w:rPr>
        <w:t>d</w:t>
      </w:r>
      <w:r w:rsidR="009D2C4C">
        <w:t>o inc. II</w:t>
      </w:r>
      <w:r>
        <w:t xml:space="preserve"> </w:t>
      </w:r>
      <w:r w:rsidR="00FE23B0">
        <w:t xml:space="preserve">do </w:t>
      </w:r>
      <w:r w:rsidR="00FE23B0" w:rsidRPr="00FE23B0">
        <w:rPr>
          <w:i/>
          <w:iCs/>
        </w:rPr>
        <w:t>caput</w:t>
      </w:r>
      <w:r w:rsidR="00FE23B0">
        <w:t xml:space="preserve"> deste</w:t>
      </w:r>
      <w:r>
        <w:t xml:space="preserve"> artigo será procedida de forma sumária e cautelar como medida administrativa no ato fiscalizatório, </w:t>
      </w:r>
      <w:r w:rsidRPr="00766A59">
        <w:t>devidamente descrita e fundamentada pela autoridade no auto de interdição, cabendo o devido recurso administrativo</w:t>
      </w:r>
      <w:r>
        <w:t>.</w:t>
      </w:r>
    </w:p>
    <w:p w14:paraId="7CC0FBB3" w14:textId="77777777" w:rsidR="00D0356F" w:rsidRDefault="00D0356F" w:rsidP="00D0356F">
      <w:pPr>
        <w:ind w:firstLine="1418"/>
        <w:jc w:val="both"/>
      </w:pPr>
    </w:p>
    <w:p w14:paraId="12850096" w14:textId="77777777" w:rsidR="00D0356F" w:rsidRDefault="00D0356F" w:rsidP="00D0356F">
      <w:pPr>
        <w:ind w:firstLine="1418"/>
        <w:jc w:val="both"/>
      </w:pPr>
      <w:r>
        <w:t>§ 2º</w:t>
      </w:r>
      <w:proofErr w:type="gramStart"/>
      <w:r>
        <w:t xml:space="preserve">  </w:t>
      </w:r>
      <w:proofErr w:type="gramEnd"/>
      <w:r>
        <w:t>Considera-se risco grave e iminente a condição ou situação de operação da atividade que possa causar acidente ou doença com lesão grave ao público.</w:t>
      </w:r>
    </w:p>
    <w:p w14:paraId="13742607" w14:textId="77777777" w:rsidR="00D0356F" w:rsidRPr="000F1A13" w:rsidRDefault="00D0356F" w:rsidP="00D0356F">
      <w:pPr>
        <w:ind w:firstLine="1418"/>
        <w:jc w:val="both"/>
        <w:rPr>
          <w:color w:val="FF0000"/>
        </w:rPr>
      </w:pPr>
    </w:p>
    <w:p w14:paraId="69E3A279" w14:textId="77777777" w:rsidR="00D0356F" w:rsidRDefault="00D0356F" w:rsidP="00D0356F">
      <w:pPr>
        <w:ind w:firstLine="1418"/>
        <w:jc w:val="both"/>
      </w:pPr>
      <w:r>
        <w:t>§ 3º</w:t>
      </w:r>
      <w:proofErr w:type="gramStart"/>
      <w:r>
        <w:t xml:space="preserve">  </w:t>
      </w:r>
      <w:proofErr w:type="gramEnd"/>
      <w:r>
        <w:t>A interdição da atividade cessa com a regularização do Alvará de Localização e Funcionamento.</w:t>
      </w:r>
    </w:p>
    <w:p w14:paraId="5CDCE42E" w14:textId="77777777" w:rsidR="00D0356F" w:rsidRDefault="00D0356F" w:rsidP="00D0356F">
      <w:pPr>
        <w:ind w:firstLine="1418"/>
        <w:jc w:val="both"/>
      </w:pPr>
    </w:p>
    <w:p w14:paraId="212AABF4" w14:textId="46E52CFB" w:rsidR="00D0356F" w:rsidRDefault="00D0356F" w:rsidP="00D0356F">
      <w:pPr>
        <w:ind w:firstLine="1418"/>
        <w:jc w:val="both"/>
      </w:pPr>
      <w:r>
        <w:lastRenderedPageBreak/>
        <w:t>§ 4º</w:t>
      </w:r>
      <w:proofErr w:type="gramStart"/>
      <w:r>
        <w:t xml:space="preserve">  </w:t>
      </w:r>
      <w:proofErr w:type="gramEnd"/>
      <w:r>
        <w:t xml:space="preserve">Os recursos </w:t>
      </w:r>
      <w:r w:rsidRPr="00CE142C">
        <w:t xml:space="preserve">impetrados contra </w:t>
      </w:r>
      <w:r w:rsidRPr="00293234">
        <w:t xml:space="preserve">os autos de interdição expedidos com base no § </w:t>
      </w:r>
      <w:r w:rsidR="0042180F" w:rsidRPr="002D78BA">
        <w:t>1</w:t>
      </w:r>
      <w:r w:rsidRPr="00CE142C">
        <w:t>º deste artigo</w:t>
      </w:r>
      <w:r w:rsidRPr="00293234">
        <w:t xml:space="preserve"> serão priorizados na ordem de julgamento.</w:t>
      </w:r>
    </w:p>
    <w:p w14:paraId="7D13710D" w14:textId="77777777" w:rsidR="00D0356F" w:rsidRDefault="00D0356F" w:rsidP="00D0356F">
      <w:pPr>
        <w:ind w:firstLine="1418"/>
        <w:jc w:val="both"/>
      </w:pPr>
    </w:p>
    <w:p w14:paraId="6DE4EF83" w14:textId="0223C0BA" w:rsidR="00D0356F" w:rsidRDefault="00D0356F" w:rsidP="00D0356F">
      <w:pPr>
        <w:ind w:firstLine="1418"/>
        <w:jc w:val="both"/>
      </w:pPr>
      <w:r w:rsidRPr="00EB3EC0">
        <w:t xml:space="preserve">Art. </w:t>
      </w:r>
      <w:r>
        <w:t>29-D</w:t>
      </w:r>
      <w:proofErr w:type="gramStart"/>
      <w:r>
        <w:t xml:space="preserve">  </w:t>
      </w:r>
      <w:proofErr w:type="gramEnd"/>
      <w:r>
        <w:t>São deveres dos estabelecimentos</w:t>
      </w:r>
      <w:r w:rsidR="0044424F">
        <w:t>,</w:t>
      </w:r>
      <w:r>
        <w:t xml:space="preserve"> sem prejuízo às demais disposições legais:</w:t>
      </w:r>
    </w:p>
    <w:p w14:paraId="02C57519" w14:textId="77777777" w:rsidR="00D0356F" w:rsidRDefault="00D0356F" w:rsidP="00D0356F">
      <w:pPr>
        <w:ind w:firstLine="1418"/>
        <w:jc w:val="both"/>
      </w:pPr>
    </w:p>
    <w:p w14:paraId="6C29E0F9" w14:textId="3E44B4A4" w:rsidR="00D0356F" w:rsidRDefault="00D0356F" w:rsidP="00D0356F">
      <w:pPr>
        <w:ind w:firstLine="1418"/>
        <w:jc w:val="both"/>
      </w:pPr>
      <w:r>
        <w:t>I – apresentar, sempre que solicitado</w:t>
      </w:r>
      <w:r w:rsidR="0044424F">
        <w:t>,</w:t>
      </w:r>
      <w:r>
        <w:t xml:space="preserve"> o Alvará de Localização e Funcionamento, nos casos exigidos em lei;</w:t>
      </w:r>
    </w:p>
    <w:p w14:paraId="1DA8A6B3" w14:textId="77777777" w:rsidR="00D0356F" w:rsidRDefault="00D0356F" w:rsidP="00D0356F">
      <w:pPr>
        <w:ind w:firstLine="1418"/>
        <w:jc w:val="both"/>
      </w:pPr>
    </w:p>
    <w:p w14:paraId="6A0FDD58" w14:textId="60FB6396" w:rsidR="00D0356F" w:rsidRDefault="00D0356F" w:rsidP="00D0356F">
      <w:pPr>
        <w:ind w:firstLine="1418"/>
        <w:jc w:val="both"/>
      </w:pPr>
      <w:r>
        <w:t>II – abster-se de depositar ou expor à venda mercadorias sobre os passeios ou utilizando paredes ou vãos, ou sobre marquises ou toldos;</w:t>
      </w:r>
    </w:p>
    <w:p w14:paraId="7DAB5B45" w14:textId="77777777" w:rsidR="00D0356F" w:rsidRDefault="00D0356F" w:rsidP="00D0356F">
      <w:pPr>
        <w:jc w:val="both"/>
      </w:pPr>
    </w:p>
    <w:p w14:paraId="31D97242" w14:textId="77777777" w:rsidR="00D0356F" w:rsidRDefault="00D0356F" w:rsidP="00D0356F">
      <w:pPr>
        <w:ind w:firstLine="1418"/>
        <w:jc w:val="both"/>
      </w:pPr>
      <w:r>
        <w:t>III – atender às exigências legais para o exercício da atividade;</w:t>
      </w:r>
    </w:p>
    <w:p w14:paraId="7E01221E" w14:textId="77777777" w:rsidR="00D0356F" w:rsidRDefault="00D0356F" w:rsidP="00D0356F">
      <w:pPr>
        <w:ind w:firstLine="1418"/>
        <w:jc w:val="both"/>
      </w:pPr>
    </w:p>
    <w:p w14:paraId="0C86D86E" w14:textId="77777777" w:rsidR="00D0356F" w:rsidRDefault="00D0356F" w:rsidP="00D0356F">
      <w:pPr>
        <w:ind w:firstLine="1418"/>
        <w:jc w:val="both"/>
      </w:pPr>
      <w:r>
        <w:t>IV – não exercer atividade em horário vedado por norma municipal;</w:t>
      </w:r>
    </w:p>
    <w:p w14:paraId="2C29AD6F" w14:textId="77777777" w:rsidR="00D0356F" w:rsidRDefault="00D0356F" w:rsidP="00D0356F">
      <w:pPr>
        <w:ind w:firstLine="1418"/>
        <w:jc w:val="both"/>
      </w:pPr>
    </w:p>
    <w:p w14:paraId="55EF3B03" w14:textId="77777777" w:rsidR="00D0356F" w:rsidRDefault="00D0356F" w:rsidP="00D0356F">
      <w:pPr>
        <w:ind w:firstLine="1418"/>
        <w:jc w:val="both"/>
      </w:pPr>
      <w:r>
        <w:t>V – não utilizar equipamentos sonoros em infração à legislação vigente;</w:t>
      </w:r>
    </w:p>
    <w:p w14:paraId="55B7CB10" w14:textId="77777777" w:rsidR="00D0356F" w:rsidRDefault="00D0356F" w:rsidP="00D0356F">
      <w:pPr>
        <w:ind w:firstLine="1418"/>
        <w:jc w:val="both"/>
      </w:pPr>
    </w:p>
    <w:p w14:paraId="06F61103" w14:textId="77777777" w:rsidR="00D0356F" w:rsidRDefault="00D0356F" w:rsidP="00D0356F">
      <w:pPr>
        <w:ind w:firstLine="1418"/>
        <w:jc w:val="both"/>
      </w:pPr>
      <w:r>
        <w:t xml:space="preserve">VI – respeitar as normas de proteção ao meio ambiente; </w:t>
      </w:r>
    </w:p>
    <w:p w14:paraId="28F75EA8" w14:textId="77777777" w:rsidR="00D0356F" w:rsidRDefault="00D0356F" w:rsidP="00D0356F">
      <w:pPr>
        <w:ind w:firstLine="1418"/>
        <w:jc w:val="both"/>
      </w:pPr>
    </w:p>
    <w:p w14:paraId="34F72035" w14:textId="71418403" w:rsidR="00D0356F" w:rsidRDefault="00D0356F" w:rsidP="00D0356F">
      <w:pPr>
        <w:ind w:firstLine="1418"/>
        <w:jc w:val="both"/>
      </w:pPr>
      <w:r>
        <w:t>VII – respeitar as restrições advindas d</w:t>
      </w:r>
      <w:r w:rsidR="00BC41AC">
        <w:t xml:space="preserve">a Lei Complementar nº 434, de 1º de dezembro de 1999 – </w:t>
      </w:r>
      <w:r w:rsidRPr="00464103">
        <w:t xml:space="preserve">Plano Diretor de Desenvolvimento Urbano Ambiental </w:t>
      </w:r>
      <w:r w:rsidR="00BC41AC">
        <w:t>de</w:t>
      </w:r>
      <w:r>
        <w:t xml:space="preserve"> Porto Alegre</w:t>
      </w:r>
      <w:r w:rsidR="00BC41AC">
        <w:t xml:space="preserve"> –</w:t>
      </w:r>
      <w:r w:rsidR="00FA298E">
        <w:t>, e alterações posteriores</w:t>
      </w:r>
      <w:r>
        <w:t>;</w:t>
      </w:r>
    </w:p>
    <w:p w14:paraId="079B6E8B" w14:textId="77777777" w:rsidR="00D0356F" w:rsidRDefault="00D0356F" w:rsidP="00D0356F">
      <w:pPr>
        <w:ind w:firstLine="1418"/>
        <w:jc w:val="both"/>
      </w:pPr>
    </w:p>
    <w:p w14:paraId="70EC8370" w14:textId="77777777" w:rsidR="00D0356F" w:rsidRDefault="00D0356F" w:rsidP="00D0356F">
      <w:pPr>
        <w:ind w:firstLine="1418"/>
        <w:jc w:val="both"/>
      </w:pPr>
      <w:r>
        <w:t xml:space="preserve">VIII – respeitar as orientações emitidas pelos órgãos sanitários; </w:t>
      </w:r>
      <w:proofErr w:type="gramStart"/>
      <w:r>
        <w:t>e</w:t>
      </w:r>
      <w:proofErr w:type="gramEnd"/>
      <w:r>
        <w:t xml:space="preserve"> </w:t>
      </w:r>
    </w:p>
    <w:p w14:paraId="3C7B61B0" w14:textId="77777777" w:rsidR="00D0356F" w:rsidRDefault="00D0356F" w:rsidP="00D0356F">
      <w:pPr>
        <w:ind w:firstLine="1418"/>
        <w:jc w:val="both"/>
      </w:pPr>
    </w:p>
    <w:p w14:paraId="645F7C78" w14:textId="77777777" w:rsidR="00D0356F" w:rsidRDefault="00D0356F" w:rsidP="00D0356F">
      <w:pPr>
        <w:ind w:firstLine="1418"/>
        <w:jc w:val="both"/>
      </w:pPr>
      <w:r>
        <w:t xml:space="preserve">IX – manter </w:t>
      </w:r>
      <w:r w:rsidRPr="0065235D">
        <w:t xml:space="preserve">as instalações sanitárias, os tanques, os banheiros, os mictórios e as latrinas de uso coletivo, seus aparelhos e acessórios, no mais rigoroso asseio e em perfeito funcionamento, com papel higiênico e </w:t>
      </w:r>
      <w:proofErr w:type="gramStart"/>
      <w:r>
        <w:t>sabão fornecidos pelo responsável</w:t>
      </w:r>
      <w:proofErr w:type="gramEnd"/>
      <w:r>
        <w:t>.</w:t>
      </w:r>
    </w:p>
    <w:p w14:paraId="3E36F823" w14:textId="77777777" w:rsidR="00D0356F" w:rsidRDefault="00D0356F" w:rsidP="00D0356F">
      <w:pPr>
        <w:ind w:firstLine="1418"/>
        <w:jc w:val="both"/>
        <w:rPr>
          <w:b/>
        </w:rPr>
      </w:pPr>
    </w:p>
    <w:p w14:paraId="5DDA29CF" w14:textId="22F9E3BF" w:rsidR="00D0356F" w:rsidRPr="00A6588C" w:rsidRDefault="00D0356F" w:rsidP="00D0356F">
      <w:pPr>
        <w:ind w:firstLine="1418"/>
        <w:jc w:val="both"/>
      </w:pPr>
      <w:r w:rsidRPr="00F33565">
        <w:t>§ 1º</w:t>
      </w:r>
      <w:proofErr w:type="gramStart"/>
      <w:r>
        <w:t xml:space="preserve">  </w:t>
      </w:r>
      <w:proofErr w:type="gramEnd"/>
      <w:r>
        <w:t>Em caso de descumprimento ao disposto neste artigo</w:t>
      </w:r>
      <w:r w:rsidR="00C44494">
        <w:t>,</w:t>
      </w:r>
      <w:r>
        <w:t xml:space="preserve"> será aplicada ao infrator:</w:t>
      </w:r>
    </w:p>
    <w:p w14:paraId="1582D4E6" w14:textId="77777777" w:rsidR="00D0356F" w:rsidRDefault="00D0356F" w:rsidP="00D0356F">
      <w:pPr>
        <w:ind w:left="1418"/>
        <w:jc w:val="both"/>
      </w:pPr>
    </w:p>
    <w:p w14:paraId="572E4835" w14:textId="77777777" w:rsidR="00D0356F" w:rsidRDefault="00D0356F" w:rsidP="00D0356F">
      <w:pPr>
        <w:ind w:left="1418"/>
        <w:jc w:val="both"/>
      </w:pPr>
      <w:r>
        <w:t>I – advertência por escrito, com a concessão de prazo razoável para a adequação;</w:t>
      </w:r>
    </w:p>
    <w:p w14:paraId="2594EC20" w14:textId="77777777" w:rsidR="00D0356F" w:rsidRDefault="00D0356F" w:rsidP="00D0356F">
      <w:pPr>
        <w:ind w:left="1418"/>
        <w:jc w:val="both"/>
      </w:pPr>
    </w:p>
    <w:p w14:paraId="5D335D6B" w14:textId="77777777" w:rsidR="00D0356F" w:rsidRDefault="00D0356F" w:rsidP="00D0356F">
      <w:pPr>
        <w:ind w:firstLine="1418"/>
        <w:jc w:val="both"/>
      </w:pPr>
      <w:r>
        <w:t xml:space="preserve">II – multa de 50 (cinquenta) </w:t>
      </w:r>
      <w:proofErr w:type="spellStart"/>
      <w:r>
        <w:t>UFMs</w:t>
      </w:r>
      <w:proofErr w:type="spellEnd"/>
      <w:r>
        <w:t>, na primeira reincidência genérica;</w:t>
      </w:r>
    </w:p>
    <w:p w14:paraId="1693AAE4" w14:textId="77777777" w:rsidR="00D0356F" w:rsidRDefault="00D0356F" w:rsidP="00D0356F">
      <w:pPr>
        <w:ind w:left="1418"/>
        <w:jc w:val="both"/>
      </w:pPr>
    </w:p>
    <w:p w14:paraId="3A0F9836" w14:textId="77777777" w:rsidR="00D0356F" w:rsidRDefault="00D0356F" w:rsidP="00D0356F">
      <w:pPr>
        <w:ind w:left="1418"/>
        <w:jc w:val="both"/>
      </w:pPr>
      <w:r>
        <w:t xml:space="preserve">III – multa de 100 (cem) </w:t>
      </w:r>
      <w:proofErr w:type="spellStart"/>
      <w:r>
        <w:t>UFMs</w:t>
      </w:r>
      <w:proofErr w:type="spellEnd"/>
      <w:r>
        <w:t xml:space="preserve">, na segunda reincidência genérica; </w:t>
      </w:r>
      <w:proofErr w:type="gramStart"/>
      <w:r>
        <w:t>e</w:t>
      </w:r>
      <w:proofErr w:type="gramEnd"/>
    </w:p>
    <w:p w14:paraId="034F2FFB" w14:textId="77777777" w:rsidR="00D0356F" w:rsidRDefault="00D0356F" w:rsidP="00D0356F">
      <w:pPr>
        <w:ind w:left="1418"/>
        <w:jc w:val="both"/>
      </w:pPr>
    </w:p>
    <w:p w14:paraId="0FF053ED" w14:textId="797250BC" w:rsidR="00D0356F" w:rsidRDefault="00D0356F" w:rsidP="00D0356F">
      <w:pPr>
        <w:ind w:firstLine="1418"/>
        <w:jc w:val="both"/>
      </w:pPr>
      <w:r>
        <w:t>IV – multa de 300 (trezent</w:t>
      </w:r>
      <w:r w:rsidR="00E95CDB">
        <w:t>a</w:t>
      </w:r>
      <w:r>
        <w:t xml:space="preserve">s) </w:t>
      </w:r>
      <w:proofErr w:type="spellStart"/>
      <w:r>
        <w:t>UFMs</w:t>
      </w:r>
      <w:proofErr w:type="spellEnd"/>
      <w:r>
        <w:t>, a partir da reincidência específica e interdição da atividade exercida de maneira irregular.</w:t>
      </w:r>
    </w:p>
    <w:p w14:paraId="11D0773B" w14:textId="77777777" w:rsidR="00D0356F" w:rsidRDefault="00D0356F" w:rsidP="00D0356F">
      <w:pPr>
        <w:ind w:firstLine="1418"/>
        <w:jc w:val="both"/>
      </w:pPr>
    </w:p>
    <w:p w14:paraId="057ACB88" w14:textId="77777777" w:rsidR="00D0356F" w:rsidRDefault="00D0356F" w:rsidP="00D0356F">
      <w:pPr>
        <w:ind w:firstLine="1418"/>
        <w:jc w:val="both"/>
      </w:pPr>
      <w:r>
        <w:t>§ 2º</w:t>
      </w:r>
      <w:proofErr w:type="gramStart"/>
      <w:r>
        <w:t xml:space="preserve">  </w:t>
      </w:r>
      <w:proofErr w:type="gramEnd"/>
      <w:r>
        <w:t xml:space="preserve">Havendo risco grave e iminente, a interdição do exercício de atividades irregulares será procedida de forma sumária e cautelar como medida administrativa no ato </w:t>
      </w:r>
      <w:r>
        <w:lastRenderedPageBreak/>
        <w:t>fiscalizatório, devidamente descrita e fundamentada pela autoridade no auto de interdição, cabendo o devido recurso administrativo.</w:t>
      </w:r>
    </w:p>
    <w:p w14:paraId="52DEE39E" w14:textId="77777777" w:rsidR="00D0356F" w:rsidRDefault="00D0356F" w:rsidP="00D0356F">
      <w:pPr>
        <w:ind w:firstLine="1418"/>
        <w:jc w:val="both"/>
      </w:pPr>
    </w:p>
    <w:p w14:paraId="4BCEFB9D" w14:textId="3CF84494" w:rsidR="00D0356F" w:rsidRDefault="00D0356F" w:rsidP="00D0356F">
      <w:pPr>
        <w:ind w:firstLine="1418"/>
        <w:jc w:val="both"/>
      </w:pPr>
      <w:r>
        <w:t>§ 3º</w:t>
      </w:r>
      <w:proofErr w:type="gramStart"/>
      <w:r>
        <w:t xml:space="preserve">  </w:t>
      </w:r>
      <w:proofErr w:type="gramEnd"/>
      <w:r>
        <w:t xml:space="preserve">Considera-se risco grave e iminente a condição ou situação de operação da atividade que possa causar acidente ou doença com lesão grave ao público, cujos prazos serão regulamentados por </w:t>
      </w:r>
      <w:r w:rsidR="0056755D">
        <w:t>d</w:t>
      </w:r>
      <w:r>
        <w:t>ecreto.</w:t>
      </w:r>
    </w:p>
    <w:p w14:paraId="5E97A05B" w14:textId="77777777" w:rsidR="00D0356F" w:rsidRDefault="00D0356F" w:rsidP="00D0356F">
      <w:pPr>
        <w:ind w:firstLine="1418"/>
        <w:jc w:val="both"/>
      </w:pPr>
    </w:p>
    <w:p w14:paraId="79EFB998" w14:textId="77777777" w:rsidR="00D0356F" w:rsidRDefault="00D0356F" w:rsidP="00D0356F">
      <w:pPr>
        <w:ind w:firstLine="1418"/>
        <w:jc w:val="both"/>
      </w:pPr>
      <w:r>
        <w:t>§ 4º</w:t>
      </w:r>
      <w:proofErr w:type="gramStart"/>
      <w:r>
        <w:t xml:space="preserve">  </w:t>
      </w:r>
      <w:proofErr w:type="gramEnd"/>
      <w:r>
        <w:t>A interdição da atividade cessa com a regularização das condições ou situações apontadas no auto de interdição, assim reconhecida formalmente pela autoridade competente.</w:t>
      </w:r>
    </w:p>
    <w:p w14:paraId="7CAFE3B1" w14:textId="77777777" w:rsidR="00D0356F" w:rsidRDefault="00D0356F" w:rsidP="00D0356F">
      <w:pPr>
        <w:ind w:firstLine="1418"/>
        <w:jc w:val="both"/>
      </w:pPr>
    </w:p>
    <w:p w14:paraId="02BEF7AA" w14:textId="77777777" w:rsidR="00D0356F" w:rsidRDefault="00D0356F" w:rsidP="00D0356F">
      <w:pPr>
        <w:ind w:firstLine="1418"/>
        <w:jc w:val="both"/>
      </w:pPr>
      <w:r>
        <w:t>§ 5º</w:t>
      </w:r>
      <w:proofErr w:type="gramStart"/>
      <w:r>
        <w:t xml:space="preserve">  </w:t>
      </w:r>
      <w:proofErr w:type="gramEnd"/>
      <w:r>
        <w:t xml:space="preserve">Os recursos impetrados </w:t>
      </w:r>
      <w:r w:rsidRPr="00293234">
        <w:t xml:space="preserve">contra os autos de interdição </w:t>
      </w:r>
      <w:r w:rsidRPr="002D78BA">
        <w:t>expedidos com base no § 2º deste artigo serão priorizados na ordem de julgamento.</w:t>
      </w:r>
    </w:p>
    <w:p w14:paraId="732FD9B2" w14:textId="77777777" w:rsidR="00D0356F" w:rsidRDefault="00D0356F" w:rsidP="00D0356F">
      <w:pPr>
        <w:jc w:val="both"/>
        <w:rPr>
          <w:b/>
        </w:rPr>
      </w:pPr>
    </w:p>
    <w:p w14:paraId="0DBF7090" w14:textId="77777777" w:rsidR="00D0356F" w:rsidRDefault="00D0356F" w:rsidP="00D0356F">
      <w:pPr>
        <w:ind w:firstLine="1418"/>
        <w:jc w:val="both"/>
      </w:pPr>
      <w:r w:rsidRPr="004179A0">
        <w:t xml:space="preserve">§ </w:t>
      </w:r>
      <w:r>
        <w:t>6</w:t>
      </w:r>
      <w:r w:rsidRPr="004179A0">
        <w:t>º</w:t>
      </w:r>
      <w:proofErr w:type="gramStart"/>
      <w:r>
        <w:t xml:space="preserve">  </w:t>
      </w:r>
      <w:proofErr w:type="gramEnd"/>
      <w:r>
        <w:t>A dispensa de atos públicos de liberação da atividade econômica não exime a necessidade de observância dos deveres dispostos neste artigo e legislações vigentes.</w:t>
      </w:r>
    </w:p>
    <w:p w14:paraId="044E0847" w14:textId="77777777" w:rsidR="00D0356F" w:rsidRDefault="00D0356F" w:rsidP="00D0356F">
      <w:pPr>
        <w:ind w:firstLine="1418"/>
        <w:jc w:val="both"/>
        <w:rPr>
          <w:b/>
        </w:rPr>
      </w:pPr>
    </w:p>
    <w:p w14:paraId="40A0359A" w14:textId="77777777" w:rsidR="00D0356F" w:rsidRDefault="00D0356F" w:rsidP="00D0356F">
      <w:pPr>
        <w:ind w:firstLine="1418"/>
        <w:jc w:val="both"/>
      </w:pPr>
      <w:r w:rsidRPr="004179A0">
        <w:t xml:space="preserve">§ </w:t>
      </w:r>
      <w:r>
        <w:t>7</w:t>
      </w:r>
      <w:r w:rsidRPr="004179A0">
        <w:t>º</w:t>
      </w:r>
      <w:proofErr w:type="gramStart"/>
      <w:r>
        <w:t xml:space="preserve">  </w:t>
      </w:r>
      <w:proofErr w:type="gramEnd"/>
      <w:r w:rsidRPr="00F3390A">
        <w:t>A ação fiscalizatória determinará a adequação à legislação vigente, ressalvados os casos de risco grave e iminente, em que aplicará o § 2º deste artigo</w:t>
      </w:r>
      <w:r>
        <w:t>.</w:t>
      </w:r>
    </w:p>
    <w:p w14:paraId="5D353C6B" w14:textId="77777777" w:rsidR="00D0356F" w:rsidRDefault="00D0356F" w:rsidP="00D0356F">
      <w:pPr>
        <w:ind w:firstLine="1418"/>
        <w:jc w:val="both"/>
      </w:pPr>
    </w:p>
    <w:p w14:paraId="5E5BCF27" w14:textId="7D2F94A5" w:rsidR="00D0356F" w:rsidRDefault="00D0356F" w:rsidP="00D0356F">
      <w:pPr>
        <w:ind w:firstLine="1418"/>
        <w:jc w:val="both"/>
      </w:pPr>
      <w:r w:rsidRPr="00DE2AB9">
        <w:t xml:space="preserve">Art. </w:t>
      </w:r>
      <w:r>
        <w:t>29-E.</w:t>
      </w:r>
      <w:r w:rsidRPr="00DE2AB9">
        <w:t xml:space="preserve"> </w:t>
      </w:r>
      <w:r>
        <w:t xml:space="preserve"> Considera-se observado o critério da dupla visita quando, no ato da fiscalização, houver auto de infração ou notificação pré-existente, emitido pelo Município ou outra autoridade competente, na vigência desta </w:t>
      </w:r>
      <w:r w:rsidR="00C44494">
        <w:t>L</w:t>
      </w:r>
      <w:r>
        <w:t>ei</w:t>
      </w:r>
      <w:r w:rsidR="000A7649">
        <w:t xml:space="preserve"> Complementar</w:t>
      </w:r>
      <w:r>
        <w:t xml:space="preserve">, apontando expressamente a irregularidade encontrada. </w:t>
      </w:r>
    </w:p>
    <w:p w14:paraId="0326F5CC" w14:textId="77777777" w:rsidR="00D0356F" w:rsidRPr="00DE2AB9" w:rsidRDefault="00D0356F" w:rsidP="00D0356F">
      <w:pPr>
        <w:ind w:firstLine="1418"/>
        <w:jc w:val="both"/>
      </w:pPr>
    </w:p>
    <w:p w14:paraId="08B0326F" w14:textId="0EEBA029" w:rsidR="00D0356F" w:rsidRPr="00DE2AB9" w:rsidRDefault="00D0356F" w:rsidP="00D0356F">
      <w:pPr>
        <w:ind w:firstLine="1418"/>
        <w:jc w:val="both"/>
      </w:pPr>
      <w:r>
        <w:t xml:space="preserve">Parágrafo único. </w:t>
      </w:r>
      <w:proofErr w:type="gramStart"/>
      <w:r>
        <w:t>O critério da dupla visita não afasta o dever de adequação à legislação vigente.”</w:t>
      </w:r>
      <w:proofErr w:type="gramEnd"/>
      <w:r>
        <w:t xml:space="preserve"> </w:t>
      </w:r>
    </w:p>
    <w:p w14:paraId="6A8B7CF4" w14:textId="77777777" w:rsidR="00D0356F" w:rsidRPr="00DE2AB9" w:rsidRDefault="00D0356F" w:rsidP="00D0356F">
      <w:pPr>
        <w:ind w:firstLine="1418"/>
        <w:jc w:val="both"/>
      </w:pPr>
    </w:p>
    <w:p w14:paraId="0445890E" w14:textId="02A0FF30" w:rsidR="00D0356F" w:rsidRDefault="00D0356F" w:rsidP="00D0356F">
      <w:pPr>
        <w:ind w:firstLine="1418"/>
        <w:jc w:val="both"/>
        <w:rPr>
          <w:b/>
        </w:rPr>
      </w:pPr>
      <w:r>
        <w:rPr>
          <w:b/>
        </w:rPr>
        <w:t>Art. 2º</w:t>
      </w:r>
      <w:proofErr w:type="gramStart"/>
      <w:r>
        <w:t xml:space="preserve">  </w:t>
      </w:r>
      <w:proofErr w:type="gramEnd"/>
      <w:r w:rsidR="00F7268B">
        <w:t xml:space="preserve">Fica incluído </w:t>
      </w:r>
      <w:r w:rsidRPr="00860AAA">
        <w:t xml:space="preserve">parágrafo único </w:t>
      </w:r>
      <w:r w:rsidR="00F7268B">
        <w:t>no</w:t>
      </w:r>
      <w:r w:rsidRPr="00860AAA">
        <w:t xml:space="preserve"> </w:t>
      </w:r>
      <w:r w:rsidR="00F7268B">
        <w:t xml:space="preserve">art. </w:t>
      </w:r>
      <w:r w:rsidRPr="00860AAA">
        <w:t>1</w:t>
      </w:r>
      <w:r w:rsidR="00F7268B">
        <w:t>º-</w:t>
      </w:r>
      <w:r w:rsidRPr="00860AAA">
        <w:t xml:space="preserve">A </w:t>
      </w:r>
      <w:r w:rsidR="00F7268B">
        <w:t>d</w:t>
      </w:r>
      <w:r w:rsidRPr="00860AAA">
        <w:t xml:space="preserve">a Lei Complementar </w:t>
      </w:r>
      <w:r w:rsidR="00F7268B">
        <w:t xml:space="preserve">nº </w:t>
      </w:r>
      <w:r w:rsidRPr="00860AAA">
        <w:t>554</w:t>
      </w:r>
      <w:r w:rsidR="00F7268B">
        <w:t>,</w:t>
      </w:r>
      <w:r w:rsidRPr="00860AAA">
        <w:t xml:space="preserve"> de 11 de julho de 2006</w:t>
      </w:r>
      <w:r w:rsidR="00F7268B">
        <w:t>,</w:t>
      </w:r>
      <w:r w:rsidR="007B2D5A">
        <w:t xml:space="preserve"> e alterações posteriores,</w:t>
      </w:r>
      <w:r w:rsidRPr="00860AAA">
        <w:t xml:space="preserve"> </w:t>
      </w:r>
      <w:r w:rsidR="00F7268B">
        <w:t>conforme segue</w:t>
      </w:r>
      <w:r w:rsidR="00E11BE7">
        <w:t>:</w:t>
      </w:r>
    </w:p>
    <w:p w14:paraId="7AA7A244" w14:textId="435EAF92" w:rsidR="00D0356F" w:rsidRDefault="00D0356F" w:rsidP="00D0356F">
      <w:pPr>
        <w:ind w:firstLine="1418"/>
        <w:jc w:val="both"/>
        <w:rPr>
          <w:b/>
        </w:rPr>
      </w:pPr>
    </w:p>
    <w:p w14:paraId="0C091626" w14:textId="28B004C0" w:rsidR="00D0356F" w:rsidRDefault="00D0356F" w:rsidP="00D0356F">
      <w:pPr>
        <w:ind w:firstLine="1418"/>
        <w:jc w:val="both"/>
      </w:pPr>
      <w:r w:rsidRPr="002D78BA">
        <w:rPr>
          <w:bCs/>
        </w:rPr>
        <w:t>“</w:t>
      </w:r>
      <w:r w:rsidRPr="00533A16">
        <w:rPr>
          <w:bCs/>
        </w:rPr>
        <w:t>Art. 1º-A</w:t>
      </w:r>
      <w:proofErr w:type="gramStart"/>
      <w:r>
        <w:rPr>
          <w:b/>
        </w:rPr>
        <w:t xml:space="preserve">  </w:t>
      </w:r>
      <w:r>
        <w:t>...</w:t>
      </w:r>
      <w:proofErr w:type="gramEnd"/>
      <w:r>
        <w:t>.................................</w:t>
      </w:r>
      <w:r w:rsidR="00F7268B">
        <w:t>...</w:t>
      </w:r>
      <w:r>
        <w:t>..........................................................................</w:t>
      </w:r>
    </w:p>
    <w:p w14:paraId="53A364A1" w14:textId="1E28556F" w:rsidR="00D0356F" w:rsidRDefault="00D0356F" w:rsidP="00D0356F">
      <w:pPr>
        <w:ind w:firstLine="1418"/>
        <w:jc w:val="both"/>
      </w:pPr>
    </w:p>
    <w:p w14:paraId="3E585080" w14:textId="1254948A" w:rsidR="00D0356F" w:rsidRDefault="00D0356F" w:rsidP="00D0356F">
      <w:pPr>
        <w:ind w:firstLine="1418"/>
        <w:jc w:val="both"/>
      </w:pPr>
      <w:r w:rsidRPr="00C84062">
        <w:t>Parágrafo único</w:t>
      </w:r>
      <w:r>
        <w:t>.</w:t>
      </w:r>
      <w:r w:rsidR="00F7268B">
        <w:t xml:space="preserve"> </w:t>
      </w:r>
      <w:r w:rsidRPr="00C84062">
        <w:t xml:space="preserve"> As atividades dedicadas à operação de desmanche de veículos, de fundições, de galpões de reciclagem, de compra e venda de sucata e de peças usadas de veículos automotores, mesmo que de baixo risco, necessitarão de emissão de autorização para funcionamento no </w:t>
      </w:r>
      <w:r w:rsidR="007B2D5A">
        <w:t>M</w:t>
      </w:r>
      <w:r w:rsidRPr="00C84062">
        <w:t>unicípio de Porto Alegre</w:t>
      </w:r>
      <w:r>
        <w:t>.” (NR</w:t>
      </w:r>
      <w:proofErr w:type="gramStart"/>
      <w:r>
        <w:t>)</w:t>
      </w:r>
      <w:proofErr w:type="gramEnd"/>
    </w:p>
    <w:p w14:paraId="5D151A70" w14:textId="15BD07BC" w:rsidR="00D0356F" w:rsidRDefault="00D0356F" w:rsidP="00D0356F">
      <w:pPr>
        <w:ind w:firstLine="1418"/>
        <w:jc w:val="both"/>
        <w:rPr>
          <w:b/>
        </w:rPr>
      </w:pPr>
    </w:p>
    <w:p w14:paraId="0DA40FA9" w14:textId="1E1513B6" w:rsidR="00D0356F" w:rsidRDefault="00D0356F" w:rsidP="00D0356F">
      <w:pPr>
        <w:ind w:firstLine="1418"/>
        <w:jc w:val="both"/>
        <w:rPr>
          <w:color w:val="FF0000"/>
        </w:rPr>
      </w:pPr>
      <w:r w:rsidRPr="009B27BB">
        <w:rPr>
          <w:b/>
        </w:rPr>
        <w:t xml:space="preserve">Art. </w:t>
      </w:r>
      <w:r>
        <w:rPr>
          <w:b/>
        </w:rPr>
        <w:t>3º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 w:rsidR="0056755D">
        <w:t xml:space="preserve">No art. 4º da </w:t>
      </w:r>
      <w:r w:rsidR="0056755D" w:rsidRPr="0007227D">
        <w:t>Lei Complementar nº 876, de 3 de março de 2020</w:t>
      </w:r>
      <w:r w:rsidR="0056755D">
        <w:t>, ficam</w:t>
      </w:r>
      <w:r>
        <w:t xml:space="preserve"> incluídos inc. XI no </w:t>
      </w:r>
      <w:r w:rsidRPr="007C26E7">
        <w:rPr>
          <w:i/>
        </w:rPr>
        <w:t>caput</w:t>
      </w:r>
      <w:r>
        <w:t xml:space="preserve"> e §§ 8º e 9º</w:t>
      </w:r>
      <w:r w:rsidR="0056755D">
        <w:t xml:space="preserve"> e fica alterado o § 1º </w:t>
      </w:r>
      <w:r>
        <w:t>, conforme segue:</w:t>
      </w:r>
    </w:p>
    <w:p w14:paraId="69F9791E" w14:textId="036A8897" w:rsidR="00D0356F" w:rsidRPr="00C551E2" w:rsidRDefault="00D0356F" w:rsidP="00D0356F">
      <w:pPr>
        <w:ind w:firstLine="1418"/>
        <w:jc w:val="both"/>
        <w:rPr>
          <w:color w:val="FF0000"/>
        </w:rPr>
      </w:pPr>
    </w:p>
    <w:p w14:paraId="22A872FB" w14:textId="3F41C061" w:rsidR="00D0356F" w:rsidRDefault="00D0356F" w:rsidP="00D0356F">
      <w:pPr>
        <w:ind w:firstLine="1418"/>
        <w:jc w:val="both"/>
      </w:pPr>
      <w:r>
        <w:t>“Art. 4º</w:t>
      </w:r>
      <w:proofErr w:type="gramStart"/>
      <w:r>
        <w:t xml:space="preserve">  ...</w:t>
      </w:r>
      <w:proofErr w:type="gramEnd"/>
      <w:r>
        <w:t>..................................................................................................................</w:t>
      </w:r>
    </w:p>
    <w:p w14:paraId="334FBD0F" w14:textId="587E2CD2" w:rsidR="00D0356F" w:rsidRDefault="00D0356F" w:rsidP="00D0356F">
      <w:pPr>
        <w:ind w:firstLine="1418"/>
        <w:jc w:val="both"/>
      </w:pPr>
    </w:p>
    <w:p w14:paraId="1514B2EE" w14:textId="03E419AA" w:rsidR="00D0356F" w:rsidRDefault="00D0356F" w:rsidP="00D0356F">
      <w:pPr>
        <w:ind w:firstLine="1418"/>
        <w:jc w:val="both"/>
      </w:pPr>
      <w:proofErr w:type="gramStart"/>
      <w:r>
        <w:lastRenderedPageBreak/>
        <w:t>....................................................................................................................................</w:t>
      </w:r>
      <w:proofErr w:type="gramEnd"/>
    </w:p>
    <w:p w14:paraId="56211D11" w14:textId="60B941EF" w:rsidR="00D0356F" w:rsidRDefault="00D0356F" w:rsidP="00D0356F">
      <w:pPr>
        <w:ind w:firstLine="1418"/>
        <w:jc w:val="both"/>
      </w:pPr>
    </w:p>
    <w:p w14:paraId="3FE63C78" w14:textId="29A20037" w:rsidR="00D0356F" w:rsidRDefault="00F43A61" w:rsidP="00D0356F">
      <w:pPr>
        <w:ind w:firstLine="1418"/>
        <w:jc w:val="both"/>
      </w:pPr>
      <w:r>
        <w:t>X</w:t>
      </w:r>
      <w:r w:rsidR="00D0356F">
        <w:t xml:space="preserve">I – </w:t>
      </w:r>
      <w:r w:rsidR="00D0356F" w:rsidRPr="007748C9">
        <w:t xml:space="preserve">observar o critério de dupla visita para lavratura de autos de infração </w:t>
      </w:r>
      <w:r w:rsidR="00D0356F">
        <w:t xml:space="preserve">e aplicação de penalidades </w:t>
      </w:r>
      <w:r w:rsidR="00D0356F" w:rsidRPr="007748C9">
        <w:t>decorrentes do exercício de atividade considerada de baixo ou médio risco.</w:t>
      </w:r>
    </w:p>
    <w:p w14:paraId="7190018C" w14:textId="2BBF2CEC" w:rsidR="00D0356F" w:rsidRDefault="00D0356F" w:rsidP="00D0356F">
      <w:pPr>
        <w:ind w:firstLine="1418"/>
        <w:jc w:val="both"/>
      </w:pPr>
    </w:p>
    <w:p w14:paraId="3C984E2C" w14:textId="1CB401DA" w:rsidR="00D0356F" w:rsidRDefault="00D0356F" w:rsidP="00D0356F">
      <w:pPr>
        <w:ind w:firstLine="1418"/>
        <w:jc w:val="both"/>
      </w:pPr>
      <w:r w:rsidRPr="007748C9">
        <w:t>§</w:t>
      </w:r>
      <w:r>
        <w:t xml:space="preserve"> </w:t>
      </w:r>
      <w:r w:rsidRPr="007748C9">
        <w:t>1º</w:t>
      </w:r>
      <w:proofErr w:type="gramStart"/>
      <w:r w:rsidRPr="007748C9">
        <w:t xml:space="preserve"> </w:t>
      </w:r>
      <w:r>
        <w:t xml:space="preserve"> </w:t>
      </w:r>
      <w:proofErr w:type="gramEnd"/>
      <w:r w:rsidRPr="006A55B4">
        <w:t xml:space="preserve">Para fins do disposto nesta Lei Complementar, serão consideradas como de baixo risco as atividades assim definidas pelas normativas expedidas no âmbito da Rede Nacional para a Simplificação do Registro e da Legalização de Empresas e Negócios </w:t>
      </w:r>
      <w:r w:rsidR="00874FAC">
        <w:t>(</w:t>
      </w:r>
      <w:proofErr w:type="spellStart"/>
      <w:r w:rsidRPr="006A55B4">
        <w:t>Redesim</w:t>
      </w:r>
      <w:proofErr w:type="spellEnd"/>
      <w:r w:rsidR="00874FAC">
        <w:t>)</w:t>
      </w:r>
      <w:r w:rsidRPr="006A55B4">
        <w:t xml:space="preserve">, instituída pela Lei Federal nº 11.598, de 3 de dezembro de 2007, entre estas as das bancas de hortifrúti estabelecidas em feiras, bem como outras atividades que sejam assim reconhecidas por </w:t>
      </w:r>
      <w:r w:rsidR="00702A79">
        <w:t>d</w:t>
      </w:r>
      <w:r w:rsidRPr="006A55B4">
        <w:t>ecreto do Executivo Municipal</w:t>
      </w:r>
      <w:r w:rsidRPr="007748C9">
        <w:t>.</w:t>
      </w:r>
    </w:p>
    <w:p w14:paraId="39FBC0A2" w14:textId="441E93FC" w:rsidR="00D0356F" w:rsidRDefault="00D0356F" w:rsidP="00D0356F">
      <w:pPr>
        <w:ind w:firstLine="1418"/>
        <w:jc w:val="both"/>
      </w:pPr>
    </w:p>
    <w:p w14:paraId="0A19C7BE" w14:textId="6634A27F" w:rsidR="00D0356F" w:rsidRDefault="00D0356F" w:rsidP="00D0356F">
      <w:pPr>
        <w:ind w:firstLine="1418"/>
        <w:jc w:val="both"/>
      </w:pPr>
      <w:proofErr w:type="gramStart"/>
      <w:r>
        <w:t>....................................................................................................................................</w:t>
      </w:r>
      <w:proofErr w:type="gramEnd"/>
    </w:p>
    <w:p w14:paraId="1A10830A" w14:textId="55163DCA" w:rsidR="00D0356F" w:rsidRDefault="00D0356F" w:rsidP="00D0356F">
      <w:pPr>
        <w:ind w:firstLine="1418"/>
        <w:jc w:val="both"/>
      </w:pPr>
    </w:p>
    <w:p w14:paraId="067FE742" w14:textId="40B7C9C2" w:rsidR="00D0356F" w:rsidRDefault="00D0356F" w:rsidP="00D0356F">
      <w:pPr>
        <w:ind w:firstLine="1418"/>
        <w:jc w:val="both"/>
      </w:pPr>
      <w:r>
        <w:t>§ 8º</w:t>
      </w:r>
      <w:proofErr w:type="gramStart"/>
      <w:r>
        <w:t xml:space="preserve">  </w:t>
      </w:r>
      <w:proofErr w:type="gramEnd"/>
      <w:r w:rsidRPr="007748C9">
        <w:t xml:space="preserve">Para fins do disposto </w:t>
      </w:r>
      <w:r>
        <w:t>nesta Lei Complementar</w:t>
      </w:r>
      <w:r w:rsidRPr="007748C9">
        <w:t xml:space="preserve">, serão consideradas como de </w:t>
      </w:r>
      <w:r>
        <w:t>médio</w:t>
      </w:r>
      <w:r w:rsidRPr="007748C9">
        <w:t xml:space="preserve"> risco as atividades assim definidas pelas normativas expedidas no âmbito da </w:t>
      </w:r>
      <w:proofErr w:type="spellStart"/>
      <w:r w:rsidRPr="007748C9">
        <w:t>Redesim</w:t>
      </w:r>
      <w:proofErr w:type="spellEnd"/>
      <w:r w:rsidR="002E0C18">
        <w:t>.</w:t>
      </w:r>
    </w:p>
    <w:p w14:paraId="73D79388" w14:textId="752E6A31" w:rsidR="00D0356F" w:rsidRDefault="00D0356F" w:rsidP="00D0356F">
      <w:pPr>
        <w:ind w:firstLine="1418"/>
        <w:jc w:val="both"/>
      </w:pPr>
    </w:p>
    <w:p w14:paraId="3043D054" w14:textId="65C3EED7" w:rsidR="00D0356F" w:rsidRDefault="00D0356F" w:rsidP="00D0356F">
      <w:pPr>
        <w:ind w:firstLine="1418"/>
        <w:jc w:val="both"/>
      </w:pPr>
      <w:r>
        <w:t>§ 9º</w:t>
      </w:r>
      <w:proofErr w:type="gramStart"/>
      <w:r>
        <w:t xml:space="preserve">  </w:t>
      </w:r>
      <w:proofErr w:type="gramEnd"/>
      <w:r>
        <w:t xml:space="preserve">Sem prejuízo do disposto neste artigo, o Executivo Municipal poderá estabelecer outras atividades como consideradas de baixo risco e de médio risco ou critérios de classificação de risco, desde que não acarrete o aumento do grau de risco em que a atividade se encontra classificada no âmbito da </w:t>
      </w:r>
      <w:proofErr w:type="spellStart"/>
      <w:r w:rsidRPr="007748C9">
        <w:t>Redesim</w:t>
      </w:r>
      <w:proofErr w:type="spellEnd"/>
      <w:r>
        <w:t>.” (NR)</w:t>
      </w:r>
    </w:p>
    <w:p w14:paraId="349BED2D" w14:textId="640217D8" w:rsidR="00D0356F" w:rsidRDefault="00D0356F" w:rsidP="00D0356F">
      <w:pPr>
        <w:ind w:firstLine="1418"/>
        <w:jc w:val="both"/>
      </w:pPr>
    </w:p>
    <w:p w14:paraId="5CE695D6" w14:textId="5A38AA13" w:rsidR="00D0356F" w:rsidRPr="000742B1" w:rsidRDefault="00D0356F" w:rsidP="00D0356F">
      <w:pPr>
        <w:ind w:firstLine="1418"/>
        <w:jc w:val="both"/>
        <w:rPr>
          <w:b/>
        </w:rPr>
      </w:pPr>
      <w:r w:rsidRPr="000742B1">
        <w:rPr>
          <w:b/>
        </w:rPr>
        <w:t>Art</w:t>
      </w:r>
      <w:r w:rsidRPr="001A4856">
        <w:rPr>
          <w:b/>
        </w:rPr>
        <w:t xml:space="preserve">. </w:t>
      </w:r>
      <w:r>
        <w:rPr>
          <w:b/>
        </w:rPr>
        <w:t>4º</w:t>
      </w:r>
      <w:r w:rsidRPr="000742B1">
        <w:t xml:space="preserve"> </w:t>
      </w:r>
      <w:r>
        <w:t>Fica incluído</w:t>
      </w:r>
      <w:r w:rsidRPr="000742B1">
        <w:t xml:space="preserve"> § 3º no art. 6º da</w:t>
      </w:r>
      <w:r>
        <w:t xml:space="preserve"> </w:t>
      </w:r>
      <w:r w:rsidRPr="0007227D">
        <w:t>Lei Complementar nº 876, de 2020</w:t>
      </w:r>
      <w:r>
        <w:t>, conforme segue:</w:t>
      </w:r>
    </w:p>
    <w:p w14:paraId="150F1F51" w14:textId="48A4CAE9" w:rsidR="00D0356F" w:rsidRDefault="00D0356F" w:rsidP="00D0356F">
      <w:pPr>
        <w:ind w:firstLine="1418"/>
        <w:jc w:val="both"/>
      </w:pPr>
    </w:p>
    <w:p w14:paraId="00312179" w14:textId="258CE0A4" w:rsidR="00D0356F" w:rsidRDefault="00D0356F" w:rsidP="00D0356F">
      <w:pPr>
        <w:ind w:firstLine="1418"/>
        <w:jc w:val="both"/>
      </w:pPr>
      <w:r>
        <w:t xml:space="preserve">“Art. </w:t>
      </w:r>
      <w:proofErr w:type="gramStart"/>
      <w:r>
        <w:t>6º ...</w:t>
      </w:r>
      <w:proofErr w:type="gramEnd"/>
      <w:r>
        <w:t>...................................................................................................................</w:t>
      </w:r>
    </w:p>
    <w:p w14:paraId="77DDD786" w14:textId="2892B90A" w:rsidR="00D0356F" w:rsidRDefault="00D0356F" w:rsidP="00D0356F">
      <w:pPr>
        <w:ind w:firstLine="1418"/>
        <w:jc w:val="both"/>
      </w:pPr>
    </w:p>
    <w:p w14:paraId="14A23535" w14:textId="41C452A0" w:rsidR="00D0356F" w:rsidRDefault="00D0356F" w:rsidP="00D0356F">
      <w:pPr>
        <w:ind w:firstLine="1418"/>
        <w:jc w:val="both"/>
      </w:pPr>
      <w:proofErr w:type="gramStart"/>
      <w:r>
        <w:t>....................................................................................................................................</w:t>
      </w:r>
      <w:proofErr w:type="gramEnd"/>
    </w:p>
    <w:p w14:paraId="2DDFE7FB" w14:textId="23A29F8A" w:rsidR="00D0356F" w:rsidRDefault="00D0356F" w:rsidP="00D0356F">
      <w:pPr>
        <w:ind w:firstLine="1418"/>
        <w:jc w:val="both"/>
      </w:pPr>
    </w:p>
    <w:p w14:paraId="01D344BB" w14:textId="28AEA65E" w:rsidR="00D0356F" w:rsidRDefault="00D0356F" w:rsidP="00D0356F">
      <w:pPr>
        <w:ind w:firstLine="1418"/>
        <w:jc w:val="both"/>
      </w:pPr>
      <w:r>
        <w:t>§ 3º</w:t>
      </w:r>
      <w:proofErr w:type="gramStart"/>
      <w:r>
        <w:t xml:space="preserve">  </w:t>
      </w:r>
      <w:proofErr w:type="gramEnd"/>
      <w:r>
        <w:t xml:space="preserve">O </w:t>
      </w:r>
      <w:r w:rsidRPr="00876BFB">
        <w:t>ato normativo que reduza exigências, obrigações, restrições, requerimentos</w:t>
      </w:r>
      <w:r>
        <w:t xml:space="preserve">, </w:t>
      </w:r>
      <w:r w:rsidRPr="00876BFB">
        <w:t xml:space="preserve">especificações </w:t>
      </w:r>
      <w:r>
        <w:t xml:space="preserve">ou outros trâmites burocráticos, </w:t>
      </w:r>
      <w:r w:rsidRPr="00876BFB">
        <w:t xml:space="preserve">com o </w:t>
      </w:r>
      <w:r>
        <w:t xml:space="preserve">intuito </w:t>
      </w:r>
      <w:r w:rsidRPr="00876BFB">
        <w:t xml:space="preserve">de diminuir </w:t>
      </w:r>
      <w:r>
        <w:t>ônus para o contribuinte</w:t>
      </w:r>
      <w:r w:rsidR="0017477C">
        <w:t xml:space="preserve">, </w:t>
      </w:r>
      <w:r>
        <w:t xml:space="preserve">não será objeto de </w:t>
      </w:r>
      <w:r w:rsidRPr="00876BFB">
        <w:t>análise de impacto regulatório.</w:t>
      </w:r>
      <w:r>
        <w:t>”</w:t>
      </w:r>
      <w:r w:rsidR="00F139F5">
        <w:t xml:space="preserve"> (NR)</w:t>
      </w:r>
    </w:p>
    <w:p w14:paraId="2100646C" w14:textId="4147CE44" w:rsidR="00D0356F" w:rsidRDefault="00D0356F" w:rsidP="00D0356F">
      <w:pPr>
        <w:ind w:firstLine="1418"/>
        <w:jc w:val="both"/>
      </w:pPr>
    </w:p>
    <w:p w14:paraId="27193657" w14:textId="2C74E37E" w:rsidR="00D0356F" w:rsidRDefault="00D0356F" w:rsidP="00D0356F">
      <w:pPr>
        <w:ind w:firstLine="1418"/>
        <w:jc w:val="both"/>
      </w:pPr>
      <w:r>
        <w:rPr>
          <w:b/>
        </w:rPr>
        <w:t>Art. 5º</w:t>
      </w:r>
      <w:proofErr w:type="gramStart"/>
      <w:r w:rsidRPr="001A4856">
        <w:t xml:space="preserve"> </w:t>
      </w:r>
      <w:r>
        <w:t xml:space="preserve"> </w:t>
      </w:r>
      <w:proofErr w:type="gramEnd"/>
      <w:r>
        <w:t xml:space="preserve">As disposições desta Lei Complementar incidem nos Autos de Infração pendentes de decisão </w:t>
      </w:r>
      <w:r w:rsidRPr="00F33565">
        <w:t>final</w:t>
      </w:r>
      <w:r>
        <w:t xml:space="preserve"> para benefício do autuado.</w:t>
      </w:r>
    </w:p>
    <w:p w14:paraId="0D466D71" w14:textId="77777777" w:rsidR="00D0356F" w:rsidRDefault="00D0356F" w:rsidP="00D0356F">
      <w:pPr>
        <w:ind w:firstLine="1418"/>
        <w:jc w:val="both"/>
        <w:rPr>
          <w:b/>
        </w:rPr>
      </w:pPr>
    </w:p>
    <w:p w14:paraId="61E1469D" w14:textId="5D6FA40F" w:rsidR="00D0356F" w:rsidRDefault="00D0356F" w:rsidP="00D0356F">
      <w:pPr>
        <w:ind w:firstLine="1418"/>
        <w:jc w:val="both"/>
      </w:pPr>
      <w:r w:rsidRPr="00F33565">
        <w:rPr>
          <w:b/>
        </w:rPr>
        <w:t>Art. 6º</w:t>
      </w:r>
      <w:proofErr w:type="gramStart"/>
      <w:r w:rsidRPr="00F33565">
        <w:t xml:space="preserve"> </w:t>
      </w:r>
      <w:r>
        <w:t xml:space="preserve"> </w:t>
      </w:r>
      <w:proofErr w:type="gramEnd"/>
      <w:r w:rsidRPr="00F33565">
        <w:t>As sanções de fechamento, cancelamento do Alvará, baixa do Alvará</w:t>
      </w:r>
      <w:r w:rsidR="00761BBD">
        <w:t xml:space="preserve"> e</w:t>
      </w:r>
      <w:r w:rsidRPr="00F33565">
        <w:t xml:space="preserve"> cassação do Alvará</w:t>
      </w:r>
      <w:r w:rsidR="00761BBD">
        <w:t>,</w:t>
      </w:r>
      <w:r w:rsidRPr="00F33565">
        <w:t xml:space="preserve"> ou outra</w:t>
      </w:r>
      <w:r w:rsidR="00EB651E">
        <w:t>s</w:t>
      </w:r>
      <w:r w:rsidRPr="00F33565">
        <w:t xml:space="preserve"> que impl</w:t>
      </w:r>
      <w:r>
        <w:t>ique</w:t>
      </w:r>
      <w:r w:rsidR="00EB651E">
        <w:t>m</w:t>
      </w:r>
      <w:r>
        <w:t xml:space="preserve"> no </w:t>
      </w:r>
      <w:proofErr w:type="spellStart"/>
      <w:r>
        <w:t>cessamento</w:t>
      </w:r>
      <w:proofErr w:type="spellEnd"/>
      <w:r>
        <w:t xml:space="preserve"> definitivo da</w:t>
      </w:r>
      <w:r w:rsidRPr="00F33565">
        <w:t xml:space="preserve"> atividade previstos </w:t>
      </w:r>
      <w:r w:rsidRPr="00F33565">
        <w:lastRenderedPageBreak/>
        <w:t>em legislação vigente, serão consideradas como interdição de todas as atividades do estabelecimento, aplicando-se esta Lei Complementar no que couber.</w:t>
      </w:r>
      <w:r>
        <w:t xml:space="preserve"> </w:t>
      </w:r>
    </w:p>
    <w:p w14:paraId="1A5EE894" w14:textId="77777777" w:rsidR="00D0356F" w:rsidRDefault="00D0356F" w:rsidP="00D0356F">
      <w:pPr>
        <w:ind w:firstLine="1418"/>
        <w:jc w:val="both"/>
      </w:pPr>
    </w:p>
    <w:p w14:paraId="15939E9D" w14:textId="52114109" w:rsidR="001A5551" w:rsidRDefault="00D0356F" w:rsidP="001A5551">
      <w:pPr>
        <w:ind w:firstLine="1418"/>
        <w:jc w:val="both"/>
      </w:pPr>
      <w:r w:rsidRPr="00F33565">
        <w:rPr>
          <w:b/>
        </w:rPr>
        <w:t>Art. 7º</w:t>
      </w:r>
      <w:proofErr w:type="gramStart"/>
      <w:r>
        <w:t xml:space="preserve">  </w:t>
      </w:r>
      <w:proofErr w:type="gramEnd"/>
      <w:r>
        <w:t xml:space="preserve">Para fins de aplicação do critério de dupla visita, os Autos de </w:t>
      </w:r>
      <w:r w:rsidR="00F90532">
        <w:t>I</w:t>
      </w:r>
      <w:r>
        <w:t>nfração já lavrados, dos quais ainda não exista decisão final, ficam convertidos em notificação, considerando</w:t>
      </w:r>
      <w:r w:rsidR="00F90532">
        <w:noBreakHyphen/>
      </w:r>
      <w:r>
        <w:t>se, no silêncio, o prazo de 30 (trinta) dias para adequação das irregularidades apontadas, a contar da publicação desta Lei Complementar.</w:t>
      </w:r>
    </w:p>
    <w:p w14:paraId="02783B40" w14:textId="77777777" w:rsidR="00D0356F" w:rsidRDefault="00D0356F" w:rsidP="00D0356F">
      <w:pPr>
        <w:ind w:firstLine="1418"/>
        <w:jc w:val="both"/>
      </w:pPr>
    </w:p>
    <w:p w14:paraId="5985BB86" w14:textId="77777777" w:rsidR="00D0356F" w:rsidRDefault="00D0356F" w:rsidP="00D0356F">
      <w:pPr>
        <w:ind w:firstLine="1418"/>
        <w:jc w:val="both"/>
      </w:pPr>
      <w:r w:rsidRPr="00F33565">
        <w:rPr>
          <w:b/>
        </w:rPr>
        <w:t>Art. 8º</w:t>
      </w:r>
      <w:proofErr w:type="gramStart"/>
      <w:r>
        <w:t xml:space="preserve">  </w:t>
      </w:r>
      <w:proofErr w:type="gramEnd"/>
      <w:r>
        <w:t>Esta Lei Complementar entra em vigor na data de sua publicação.</w:t>
      </w:r>
    </w:p>
    <w:p w14:paraId="7A77E323" w14:textId="77777777" w:rsidR="00D0356F" w:rsidRDefault="00D0356F" w:rsidP="00D0356F">
      <w:pPr>
        <w:ind w:firstLine="1418"/>
        <w:jc w:val="both"/>
      </w:pPr>
    </w:p>
    <w:p w14:paraId="0000001C" w14:textId="7AF8E589" w:rsidR="00AA7A4A" w:rsidRDefault="00D0356F" w:rsidP="00D0356F">
      <w:pPr>
        <w:ind w:firstLine="1418"/>
        <w:jc w:val="both"/>
      </w:pPr>
      <w:r>
        <w:rPr>
          <w:b/>
        </w:rPr>
        <w:t>Art. 9º</w:t>
      </w:r>
      <w:proofErr w:type="gramStart"/>
      <w:r>
        <w:rPr>
          <w:b/>
        </w:rPr>
        <w:t xml:space="preserve">  </w:t>
      </w:r>
      <w:proofErr w:type="gramEnd"/>
      <w:r w:rsidRPr="00F33565">
        <w:rPr>
          <w:bCs/>
        </w:rPr>
        <w:t>Fica revogado</w:t>
      </w:r>
      <w:r>
        <w:t xml:space="preserve"> o C</w:t>
      </w:r>
      <w:r w:rsidRPr="00EB3EC0">
        <w:t>apítulo V</w:t>
      </w:r>
      <w:r w:rsidR="00F90532">
        <w:t>,</w:t>
      </w:r>
      <w:r>
        <w:t xml:space="preserve"> com seus </w:t>
      </w:r>
      <w:proofErr w:type="spellStart"/>
      <w:r>
        <w:t>arts</w:t>
      </w:r>
      <w:proofErr w:type="spellEnd"/>
      <w:r>
        <w:t>. 29 a 34</w:t>
      </w:r>
      <w:r w:rsidR="00F90532">
        <w:t>,</w:t>
      </w:r>
      <w:r w:rsidRPr="00EB3EC0">
        <w:t xml:space="preserve"> </w:t>
      </w:r>
      <w:r>
        <w:t>da</w:t>
      </w:r>
      <w:r w:rsidRPr="00EB3EC0">
        <w:t xml:space="preserve"> Lei Complementar nº 12, de </w:t>
      </w:r>
      <w:proofErr w:type="gramStart"/>
      <w:r w:rsidRPr="00EB3EC0">
        <w:t>7</w:t>
      </w:r>
      <w:proofErr w:type="gramEnd"/>
      <w:r w:rsidRPr="00EB3EC0">
        <w:t xml:space="preserve"> de janeiro de 1975</w:t>
      </w:r>
      <w:r w:rsidR="00070359" w:rsidRPr="00061C3C">
        <w:t>.</w:t>
      </w:r>
    </w:p>
    <w:p w14:paraId="64EA43FA" w14:textId="77777777" w:rsidR="000D46D1" w:rsidRDefault="000D46D1" w:rsidP="00D0356F">
      <w:pPr>
        <w:ind w:firstLine="1418"/>
        <w:jc w:val="both"/>
      </w:pPr>
    </w:p>
    <w:p w14:paraId="2395AB66" w14:textId="66CEA612" w:rsidR="000D46D1" w:rsidRDefault="000D46D1" w:rsidP="000D46D1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A306B2">
        <w:t>21</w:t>
      </w:r>
      <w:r w:rsidR="00DD2C45">
        <w:t xml:space="preserve"> de julho de 2023.</w:t>
      </w:r>
    </w:p>
    <w:p w14:paraId="3FDD2AE4" w14:textId="77777777" w:rsidR="000D46D1" w:rsidRDefault="000D46D1" w:rsidP="000D46D1">
      <w:pPr>
        <w:tabs>
          <w:tab w:val="left" w:pos="1560"/>
        </w:tabs>
        <w:jc w:val="both"/>
      </w:pPr>
    </w:p>
    <w:p w14:paraId="7A46CA5B" w14:textId="77777777" w:rsidR="00DD2C45" w:rsidRDefault="00DD2C45" w:rsidP="000D46D1">
      <w:pPr>
        <w:tabs>
          <w:tab w:val="left" w:pos="1560"/>
        </w:tabs>
        <w:jc w:val="both"/>
      </w:pPr>
    </w:p>
    <w:p w14:paraId="08CE0890" w14:textId="77777777" w:rsidR="00DD2C45" w:rsidRDefault="00DD2C45" w:rsidP="000D46D1">
      <w:pPr>
        <w:tabs>
          <w:tab w:val="left" w:pos="1560"/>
        </w:tabs>
        <w:jc w:val="both"/>
      </w:pPr>
    </w:p>
    <w:p w14:paraId="22C34792" w14:textId="1A8D6459" w:rsidR="000D46D1" w:rsidRDefault="00BF2365" w:rsidP="000D46D1">
      <w:pPr>
        <w:tabs>
          <w:tab w:val="left" w:pos="1560"/>
        </w:tabs>
        <w:jc w:val="center"/>
      </w:pPr>
      <w:r>
        <w:t>Ricardo Gomes</w:t>
      </w:r>
      <w:r w:rsidR="000D46D1">
        <w:t>,</w:t>
      </w:r>
    </w:p>
    <w:p w14:paraId="389D5E3E" w14:textId="42836B62" w:rsidR="000D46D1" w:rsidRDefault="000D46D1" w:rsidP="000D46D1">
      <w:pPr>
        <w:tabs>
          <w:tab w:val="left" w:pos="1560"/>
        </w:tabs>
        <w:jc w:val="center"/>
      </w:pPr>
      <w:r>
        <w:t>Prefeito</w:t>
      </w:r>
      <w:r w:rsidR="00BF2365">
        <w:t>, em exercício</w:t>
      </w:r>
      <w:r>
        <w:t>.</w:t>
      </w:r>
    </w:p>
    <w:p w14:paraId="08353ED4" w14:textId="77777777" w:rsidR="000D46D1" w:rsidRDefault="000D46D1" w:rsidP="000D46D1">
      <w:pPr>
        <w:tabs>
          <w:tab w:val="left" w:pos="1560"/>
        </w:tabs>
        <w:jc w:val="both"/>
      </w:pPr>
    </w:p>
    <w:p w14:paraId="7DB7F75F" w14:textId="77777777" w:rsidR="000D46D1" w:rsidRDefault="000D46D1" w:rsidP="000D46D1">
      <w:pPr>
        <w:jc w:val="both"/>
      </w:pPr>
      <w:r>
        <w:t>Registre-se e publique-se.</w:t>
      </w:r>
    </w:p>
    <w:p w14:paraId="1599E5BC" w14:textId="77777777" w:rsidR="000D46D1" w:rsidRDefault="000D46D1" w:rsidP="000D46D1">
      <w:pPr>
        <w:jc w:val="both"/>
      </w:pPr>
    </w:p>
    <w:p w14:paraId="632B2765" w14:textId="77777777" w:rsidR="00DD2C45" w:rsidRDefault="00DD2C45" w:rsidP="000D46D1">
      <w:pPr>
        <w:jc w:val="both"/>
      </w:pPr>
    </w:p>
    <w:p w14:paraId="0993388B" w14:textId="77777777" w:rsidR="00DD2C45" w:rsidRDefault="00DD2C45" w:rsidP="000D46D1">
      <w:pPr>
        <w:jc w:val="both"/>
      </w:pPr>
    </w:p>
    <w:p w14:paraId="4C0F1844" w14:textId="77777777" w:rsidR="000D46D1" w:rsidRDefault="000D46D1" w:rsidP="000D46D1">
      <w:r>
        <w:t>Roberto Silva da Rocha,</w:t>
      </w:r>
    </w:p>
    <w:p w14:paraId="7A22C0AA" w14:textId="77777777" w:rsidR="000D46D1" w:rsidRDefault="000D46D1" w:rsidP="000D46D1">
      <w:pPr>
        <w:jc w:val="both"/>
      </w:pPr>
      <w:r>
        <w:t>Procurador-Geral do Município.</w:t>
      </w:r>
    </w:p>
    <w:p w14:paraId="4F0AEEDC" w14:textId="77777777" w:rsidR="006F68DF" w:rsidRDefault="006F68DF" w:rsidP="000D46D1">
      <w:pPr>
        <w:jc w:val="both"/>
      </w:pPr>
    </w:p>
    <w:p w14:paraId="717A462F" w14:textId="7CFFF8E8" w:rsidR="006F68DF" w:rsidRDefault="006F68DF" w:rsidP="000D46D1">
      <w:pPr>
        <w:jc w:val="both"/>
      </w:pPr>
      <w:bookmarkStart w:id="0" w:name="_GoBack"/>
      <w:r>
        <w:t>Publicada no DOPA de 24/07/2023.</w:t>
      </w:r>
    </w:p>
    <w:bookmarkEnd w:id="0"/>
    <w:p w14:paraId="0A3EB0F4" w14:textId="77777777" w:rsidR="000D46D1" w:rsidRPr="00D4191C" w:rsidRDefault="000D46D1" w:rsidP="00D0356F">
      <w:pPr>
        <w:ind w:firstLine="1418"/>
        <w:jc w:val="both"/>
        <w:rPr>
          <w:sz w:val="20"/>
          <w:szCs w:val="20"/>
        </w:rPr>
      </w:pPr>
    </w:p>
    <w:sectPr w:rsidR="000D46D1" w:rsidRPr="00D4191C" w:rsidSect="00E13D09">
      <w:headerReference w:type="default" r:id="rId9"/>
      <w:headerReference w:type="first" r:id="rId10"/>
      <w:pgSz w:w="11907" w:h="16840"/>
      <w:pgMar w:top="2665" w:right="1134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4975D" w14:textId="77777777" w:rsidR="008A2F0D" w:rsidRDefault="008A2F0D">
      <w:r>
        <w:separator/>
      </w:r>
    </w:p>
  </w:endnote>
  <w:endnote w:type="continuationSeparator" w:id="0">
    <w:p w14:paraId="253FE4A4" w14:textId="77777777" w:rsidR="008A2F0D" w:rsidRDefault="008A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84215" w14:textId="77777777" w:rsidR="008A2F0D" w:rsidRDefault="008A2F0D">
      <w:r>
        <w:separator/>
      </w:r>
    </w:p>
  </w:footnote>
  <w:footnote w:type="continuationSeparator" w:id="0">
    <w:p w14:paraId="3DC3ED34" w14:textId="77777777" w:rsidR="008A2F0D" w:rsidRDefault="008A2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3A31"/>
    <w:rsid w:val="000066AB"/>
    <w:rsid w:val="00006BBE"/>
    <w:rsid w:val="00010060"/>
    <w:rsid w:val="0001161A"/>
    <w:rsid w:val="000116DC"/>
    <w:rsid w:val="00013FAD"/>
    <w:rsid w:val="00014C68"/>
    <w:rsid w:val="00014CB2"/>
    <w:rsid w:val="00015252"/>
    <w:rsid w:val="00015A1C"/>
    <w:rsid w:val="00017091"/>
    <w:rsid w:val="00022100"/>
    <w:rsid w:val="00027020"/>
    <w:rsid w:val="000320B7"/>
    <w:rsid w:val="00037881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70359"/>
    <w:rsid w:val="00077ED4"/>
    <w:rsid w:val="00084B07"/>
    <w:rsid w:val="00084ECB"/>
    <w:rsid w:val="000855DE"/>
    <w:rsid w:val="00091017"/>
    <w:rsid w:val="00091703"/>
    <w:rsid w:val="00093217"/>
    <w:rsid w:val="000934FC"/>
    <w:rsid w:val="0009706B"/>
    <w:rsid w:val="000A24E7"/>
    <w:rsid w:val="000A573B"/>
    <w:rsid w:val="000A7649"/>
    <w:rsid w:val="000C090D"/>
    <w:rsid w:val="000C1FBB"/>
    <w:rsid w:val="000C2177"/>
    <w:rsid w:val="000C7B66"/>
    <w:rsid w:val="000D0433"/>
    <w:rsid w:val="000D0601"/>
    <w:rsid w:val="000D13DE"/>
    <w:rsid w:val="000D24DE"/>
    <w:rsid w:val="000D46D1"/>
    <w:rsid w:val="000D51E7"/>
    <w:rsid w:val="000E2AF1"/>
    <w:rsid w:val="000E7259"/>
    <w:rsid w:val="000E7D36"/>
    <w:rsid w:val="000F078D"/>
    <w:rsid w:val="000F13B1"/>
    <w:rsid w:val="000F2230"/>
    <w:rsid w:val="000F246E"/>
    <w:rsid w:val="000F4358"/>
    <w:rsid w:val="000F4FBE"/>
    <w:rsid w:val="00100BCA"/>
    <w:rsid w:val="00100D1D"/>
    <w:rsid w:val="00101FDF"/>
    <w:rsid w:val="00102B60"/>
    <w:rsid w:val="0010554E"/>
    <w:rsid w:val="001175EF"/>
    <w:rsid w:val="00124868"/>
    <w:rsid w:val="00134535"/>
    <w:rsid w:val="001348E7"/>
    <w:rsid w:val="00134E4B"/>
    <w:rsid w:val="00140066"/>
    <w:rsid w:val="00143A86"/>
    <w:rsid w:val="0014732B"/>
    <w:rsid w:val="00152946"/>
    <w:rsid w:val="0015762A"/>
    <w:rsid w:val="00160A48"/>
    <w:rsid w:val="001618DD"/>
    <w:rsid w:val="00166F01"/>
    <w:rsid w:val="00171828"/>
    <w:rsid w:val="0017476F"/>
    <w:rsid w:val="0017477C"/>
    <w:rsid w:val="00181533"/>
    <w:rsid w:val="001815E2"/>
    <w:rsid w:val="00183799"/>
    <w:rsid w:val="0019274E"/>
    <w:rsid w:val="001A0423"/>
    <w:rsid w:val="001A149B"/>
    <w:rsid w:val="001A1A74"/>
    <w:rsid w:val="001A221E"/>
    <w:rsid w:val="001A5551"/>
    <w:rsid w:val="001A720C"/>
    <w:rsid w:val="001B2FDC"/>
    <w:rsid w:val="001C0C16"/>
    <w:rsid w:val="001C589E"/>
    <w:rsid w:val="001C6CDD"/>
    <w:rsid w:val="001E27D9"/>
    <w:rsid w:val="001E42FC"/>
    <w:rsid w:val="001E648D"/>
    <w:rsid w:val="001E7437"/>
    <w:rsid w:val="001E74F3"/>
    <w:rsid w:val="00200CAB"/>
    <w:rsid w:val="0020376A"/>
    <w:rsid w:val="002128FD"/>
    <w:rsid w:val="00225A8D"/>
    <w:rsid w:val="00226D18"/>
    <w:rsid w:val="00230247"/>
    <w:rsid w:val="002313E1"/>
    <w:rsid w:val="00233E3C"/>
    <w:rsid w:val="00237195"/>
    <w:rsid w:val="002425E3"/>
    <w:rsid w:val="00243852"/>
    <w:rsid w:val="00245A1D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17CB"/>
    <w:rsid w:val="002838A1"/>
    <w:rsid w:val="0028596F"/>
    <w:rsid w:val="002921FA"/>
    <w:rsid w:val="00293234"/>
    <w:rsid w:val="00294566"/>
    <w:rsid w:val="00295872"/>
    <w:rsid w:val="002A21AE"/>
    <w:rsid w:val="002B6EDC"/>
    <w:rsid w:val="002B7508"/>
    <w:rsid w:val="002C16A5"/>
    <w:rsid w:val="002C30E9"/>
    <w:rsid w:val="002C3439"/>
    <w:rsid w:val="002D05F6"/>
    <w:rsid w:val="002D78BA"/>
    <w:rsid w:val="002E0C18"/>
    <w:rsid w:val="002E3B6B"/>
    <w:rsid w:val="002F2089"/>
    <w:rsid w:val="002F36C7"/>
    <w:rsid w:val="003003AF"/>
    <w:rsid w:val="00310212"/>
    <w:rsid w:val="00310CCF"/>
    <w:rsid w:val="00316167"/>
    <w:rsid w:val="00316A31"/>
    <w:rsid w:val="00324B84"/>
    <w:rsid w:val="00327E1E"/>
    <w:rsid w:val="003313D2"/>
    <w:rsid w:val="00331A26"/>
    <w:rsid w:val="00334CFE"/>
    <w:rsid w:val="00341645"/>
    <w:rsid w:val="003515FA"/>
    <w:rsid w:val="003563F0"/>
    <w:rsid w:val="00357424"/>
    <w:rsid w:val="00360C38"/>
    <w:rsid w:val="00366C0A"/>
    <w:rsid w:val="00372E0A"/>
    <w:rsid w:val="00373DE6"/>
    <w:rsid w:val="00376918"/>
    <w:rsid w:val="00376A75"/>
    <w:rsid w:val="003810A5"/>
    <w:rsid w:val="00393E1B"/>
    <w:rsid w:val="003A0E7D"/>
    <w:rsid w:val="003A1B97"/>
    <w:rsid w:val="003A41E1"/>
    <w:rsid w:val="003A5892"/>
    <w:rsid w:val="003B1A17"/>
    <w:rsid w:val="003B47D6"/>
    <w:rsid w:val="003B5078"/>
    <w:rsid w:val="003B6800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07A98"/>
    <w:rsid w:val="00415F95"/>
    <w:rsid w:val="004167E4"/>
    <w:rsid w:val="0042180F"/>
    <w:rsid w:val="004237FE"/>
    <w:rsid w:val="00430B19"/>
    <w:rsid w:val="004339A0"/>
    <w:rsid w:val="004358C1"/>
    <w:rsid w:val="00441E73"/>
    <w:rsid w:val="0044424F"/>
    <w:rsid w:val="00444841"/>
    <w:rsid w:val="004455B1"/>
    <w:rsid w:val="00447F06"/>
    <w:rsid w:val="00450735"/>
    <w:rsid w:val="0045323C"/>
    <w:rsid w:val="004553A0"/>
    <w:rsid w:val="004559BA"/>
    <w:rsid w:val="00462F93"/>
    <w:rsid w:val="00481BC8"/>
    <w:rsid w:val="00485B02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C0C3E"/>
    <w:rsid w:val="004D0838"/>
    <w:rsid w:val="004D2779"/>
    <w:rsid w:val="004D3BFE"/>
    <w:rsid w:val="004D42CE"/>
    <w:rsid w:val="004D4F27"/>
    <w:rsid w:val="004D5A41"/>
    <w:rsid w:val="004D7134"/>
    <w:rsid w:val="004E2382"/>
    <w:rsid w:val="004E653A"/>
    <w:rsid w:val="0051485C"/>
    <w:rsid w:val="00520B2F"/>
    <w:rsid w:val="00522F6D"/>
    <w:rsid w:val="005245FC"/>
    <w:rsid w:val="00531514"/>
    <w:rsid w:val="00531985"/>
    <w:rsid w:val="00532FB9"/>
    <w:rsid w:val="00535486"/>
    <w:rsid w:val="00536AA6"/>
    <w:rsid w:val="00537EF1"/>
    <w:rsid w:val="005401A8"/>
    <w:rsid w:val="005410A1"/>
    <w:rsid w:val="00542B33"/>
    <w:rsid w:val="00543C55"/>
    <w:rsid w:val="00544585"/>
    <w:rsid w:val="00551964"/>
    <w:rsid w:val="005553C2"/>
    <w:rsid w:val="00557463"/>
    <w:rsid w:val="005612CC"/>
    <w:rsid w:val="005614DB"/>
    <w:rsid w:val="00566E1F"/>
    <w:rsid w:val="0056755D"/>
    <w:rsid w:val="0057359C"/>
    <w:rsid w:val="00576E03"/>
    <w:rsid w:val="005811FE"/>
    <w:rsid w:val="00586506"/>
    <w:rsid w:val="00587ECD"/>
    <w:rsid w:val="0059790F"/>
    <w:rsid w:val="005A0392"/>
    <w:rsid w:val="005A3A89"/>
    <w:rsid w:val="005B6133"/>
    <w:rsid w:val="005B63ED"/>
    <w:rsid w:val="005B7125"/>
    <w:rsid w:val="005B7CDF"/>
    <w:rsid w:val="005D1E9B"/>
    <w:rsid w:val="005D4AE0"/>
    <w:rsid w:val="005D6873"/>
    <w:rsid w:val="005E10B9"/>
    <w:rsid w:val="005E6CD5"/>
    <w:rsid w:val="005E70E1"/>
    <w:rsid w:val="005E7BC2"/>
    <w:rsid w:val="005F1D4E"/>
    <w:rsid w:val="005F2486"/>
    <w:rsid w:val="005F43C6"/>
    <w:rsid w:val="005F4F45"/>
    <w:rsid w:val="006028CE"/>
    <w:rsid w:val="00605423"/>
    <w:rsid w:val="00607A79"/>
    <w:rsid w:val="00611DF8"/>
    <w:rsid w:val="00622030"/>
    <w:rsid w:val="0062357F"/>
    <w:rsid w:val="00624ED2"/>
    <w:rsid w:val="00625644"/>
    <w:rsid w:val="0063027C"/>
    <w:rsid w:val="00641B00"/>
    <w:rsid w:val="006466C0"/>
    <w:rsid w:val="00650EC2"/>
    <w:rsid w:val="006529F6"/>
    <w:rsid w:val="0065561E"/>
    <w:rsid w:val="0066408C"/>
    <w:rsid w:val="006642AB"/>
    <w:rsid w:val="0067167F"/>
    <w:rsid w:val="0067590C"/>
    <w:rsid w:val="006806BD"/>
    <w:rsid w:val="00681749"/>
    <w:rsid w:val="0068318C"/>
    <w:rsid w:val="00684011"/>
    <w:rsid w:val="0068406B"/>
    <w:rsid w:val="00685076"/>
    <w:rsid w:val="006852B2"/>
    <w:rsid w:val="00686E24"/>
    <w:rsid w:val="00694650"/>
    <w:rsid w:val="006A274E"/>
    <w:rsid w:val="006A449C"/>
    <w:rsid w:val="006A605D"/>
    <w:rsid w:val="006A7093"/>
    <w:rsid w:val="006B0936"/>
    <w:rsid w:val="006C0E88"/>
    <w:rsid w:val="006C3948"/>
    <w:rsid w:val="006C5423"/>
    <w:rsid w:val="006C64FD"/>
    <w:rsid w:val="006C6562"/>
    <w:rsid w:val="006C6848"/>
    <w:rsid w:val="006D0694"/>
    <w:rsid w:val="006D2034"/>
    <w:rsid w:val="006D31A2"/>
    <w:rsid w:val="006D7C04"/>
    <w:rsid w:val="006E4287"/>
    <w:rsid w:val="006E45B1"/>
    <w:rsid w:val="006F0EF1"/>
    <w:rsid w:val="006F68DF"/>
    <w:rsid w:val="00702A79"/>
    <w:rsid w:val="007066D3"/>
    <w:rsid w:val="0071548E"/>
    <w:rsid w:val="00715729"/>
    <w:rsid w:val="00722E90"/>
    <w:rsid w:val="00736285"/>
    <w:rsid w:val="007465F0"/>
    <w:rsid w:val="00746B96"/>
    <w:rsid w:val="00750DD3"/>
    <w:rsid w:val="007517E9"/>
    <w:rsid w:val="007619A0"/>
    <w:rsid w:val="00761BBD"/>
    <w:rsid w:val="0076463E"/>
    <w:rsid w:val="00775AD2"/>
    <w:rsid w:val="0077654B"/>
    <w:rsid w:val="00787CDB"/>
    <w:rsid w:val="0079166B"/>
    <w:rsid w:val="007924F6"/>
    <w:rsid w:val="007A01B7"/>
    <w:rsid w:val="007B0954"/>
    <w:rsid w:val="007B2D5A"/>
    <w:rsid w:val="007B471C"/>
    <w:rsid w:val="007C2909"/>
    <w:rsid w:val="007C525D"/>
    <w:rsid w:val="007C5DE2"/>
    <w:rsid w:val="007C74DB"/>
    <w:rsid w:val="007D40EA"/>
    <w:rsid w:val="007E6D19"/>
    <w:rsid w:val="007E72D4"/>
    <w:rsid w:val="007F2093"/>
    <w:rsid w:val="00802171"/>
    <w:rsid w:val="00805654"/>
    <w:rsid w:val="008115A7"/>
    <w:rsid w:val="008123E6"/>
    <w:rsid w:val="00813C7E"/>
    <w:rsid w:val="008260C7"/>
    <w:rsid w:val="00831C39"/>
    <w:rsid w:val="008321E7"/>
    <w:rsid w:val="00834726"/>
    <w:rsid w:val="008450EA"/>
    <w:rsid w:val="008605A7"/>
    <w:rsid w:val="008623DD"/>
    <w:rsid w:val="00866DCD"/>
    <w:rsid w:val="00874FAC"/>
    <w:rsid w:val="0087703B"/>
    <w:rsid w:val="0088365F"/>
    <w:rsid w:val="00894C5E"/>
    <w:rsid w:val="008A04C9"/>
    <w:rsid w:val="008A2F0D"/>
    <w:rsid w:val="008A6B41"/>
    <w:rsid w:val="008B0ECA"/>
    <w:rsid w:val="008B224A"/>
    <w:rsid w:val="008B6D07"/>
    <w:rsid w:val="008C2EFC"/>
    <w:rsid w:val="008D11D3"/>
    <w:rsid w:val="008D434C"/>
    <w:rsid w:val="008E354C"/>
    <w:rsid w:val="008F0AA1"/>
    <w:rsid w:val="008F1C18"/>
    <w:rsid w:val="008F4D80"/>
    <w:rsid w:val="008F72F4"/>
    <w:rsid w:val="00900E34"/>
    <w:rsid w:val="00903DA9"/>
    <w:rsid w:val="009071E5"/>
    <w:rsid w:val="009162E0"/>
    <w:rsid w:val="00921790"/>
    <w:rsid w:val="00940191"/>
    <w:rsid w:val="009456F6"/>
    <w:rsid w:val="00953510"/>
    <w:rsid w:val="00955845"/>
    <w:rsid w:val="009617C4"/>
    <w:rsid w:val="00963435"/>
    <w:rsid w:val="00964636"/>
    <w:rsid w:val="00964A28"/>
    <w:rsid w:val="00967499"/>
    <w:rsid w:val="009821CE"/>
    <w:rsid w:val="00982E2F"/>
    <w:rsid w:val="00983BC5"/>
    <w:rsid w:val="0099672C"/>
    <w:rsid w:val="009A49E4"/>
    <w:rsid w:val="009B0703"/>
    <w:rsid w:val="009B3445"/>
    <w:rsid w:val="009B7CFF"/>
    <w:rsid w:val="009D2C4C"/>
    <w:rsid w:val="009D418B"/>
    <w:rsid w:val="009D654A"/>
    <w:rsid w:val="009D6C70"/>
    <w:rsid w:val="009D6FB2"/>
    <w:rsid w:val="009E3CCA"/>
    <w:rsid w:val="009F55BC"/>
    <w:rsid w:val="00A021A4"/>
    <w:rsid w:val="00A079DA"/>
    <w:rsid w:val="00A11B35"/>
    <w:rsid w:val="00A11CB2"/>
    <w:rsid w:val="00A12E75"/>
    <w:rsid w:val="00A16377"/>
    <w:rsid w:val="00A25EE4"/>
    <w:rsid w:val="00A30336"/>
    <w:rsid w:val="00A306B2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701F6"/>
    <w:rsid w:val="00A713DC"/>
    <w:rsid w:val="00A72513"/>
    <w:rsid w:val="00A73493"/>
    <w:rsid w:val="00A74871"/>
    <w:rsid w:val="00A81F39"/>
    <w:rsid w:val="00A8523E"/>
    <w:rsid w:val="00A85C86"/>
    <w:rsid w:val="00A925EF"/>
    <w:rsid w:val="00A92AD3"/>
    <w:rsid w:val="00A96041"/>
    <w:rsid w:val="00AA5103"/>
    <w:rsid w:val="00AA5DE1"/>
    <w:rsid w:val="00AA61A5"/>
    <w:rsid w:val="00AA7A4A"/>
    <w:rsid w:val="00AB1236"/>
    <w:rsid w:val="00AB4F50"/>
    <w:rsid w:val="00AC190A"/>
    <w:rsid w:val="00AC48C6"/>
    <w:rsid w:val="00AC62B8"/>
    <w:rsid w:val="00AD26A1"/>
    <w:rsid w:val="00AD7F88"/>
    <w:rsid w:val="00AE2C3B"/>
    <w:rsid w:val="00AF3F94"/>
    <w:rsid w:val="00AF4EE1"/>
    <w:rsid w:val="00B00C95"/>
    <w:rsid w:val="00B13C8A"/>
    <w:rsid w:val="00B421B6"/>
    <w:rsid w:val="00B45E75"/>
    <w:rsid w:val="00B50156"/>
    <w:rsid w:val="00B50F20"/>
    <w:rsid w:val="00B524F1"/>
    <w:rsid w:val="00B57020"/>
    <w:rsid w:val="00B60A9F"/>
    <w:rsid w:val="00B70874"/>
    <w:rsid w:val="00B71907"/>
    <w:rsid w:val="00B72157"/>
    <w:rsid w:val="00B76822"/>
    <w:rsid w:val="00B834E4"/>
    <w:rsid w:val="00B86485"/>
    <w:rsid w:val="00B86A8A"/>
    <w:rsid w:val="00B947A4"/>
    <w:rsid w:val="00BA2DF8"/>
    <w:rsid w:val="00BB1125"/>
    <w:rsid w:val="00BB316A"/>
    <w:rsid w:val="00BB594C"/>
    <w:rsid w:val="00BC24AC"/>
    <w:rsid w:val="00BC41AC"/>
    <w:rsid w:val="00BC470A"/>
    <w:rsid w:val="00BC4DD7"/>
    <w:rsid w:val="00BC655E"/>
    <w:rsid w:val="00BC7C28"/>
    <w:rsid w:val="00BD2DD8"/>
    <w:rsid w:val="00BD5794"/>
    <w:rsid w:val="00BD66A3"/>
    <w:rsid w:val="00BE002E"/>
    <w:rsid w:val="00BE154F"/>
    <w:rsid w:val="00BE1C41"/>
    <w:rsid w:val="00BE5768"/>
    <w:rsid w:val="00BF017F"/>
    <w:rsid w:val="00BF2365"/>
    <w:rsid w:val="00BF4146"/>
    <w:rsid w:val="00BF53DE"/>
    <w:rsid w:val="00C1096F"/>
    <w:rsid w:val="00C12742"/>
    <w:rsid w:val="00C127B4"/>
    <w:rsid w:val="00C14E32"/>
    <w:rsid w:val="00C17903"/>
    <w:rsid w:val="00C2040B"/>
    <w:rsid w:val="00C2081E"/>
    <w:rsid w:val="00C25B99"/>
    <w:rsid w:val="00C268AC"/>
    <w:rsid w:val="00C3371F"/>
    <w:rsid w:val="00C34BF8"/>
    <w:rsid w:val="00C378A6"/>
    <w:rsid w:val="00C37969"/>
    <w:rsid w:val="00C40A0C"/>
    <w:rsid w:val="00C41B12"/>
    <w:rsid w:val="00C42837"/>
    <w:rsid w:val="00C42B59"/>
    <w:rsid w:val="00C43D36"/>
    <w:rsid w:val="00C443E0"/>
    <w:rsid w:val="00C44494"/>
    <w:rsid w:val="00C45930"/>
    <w:rsid w:val="00C474CF"/>
    <w:rsid w:val="00C5632C"/>
    <w:rsid w:val="00C6018D"/>
    <w:rsid w:val="00C61A77"/>
    <w:rsid w:val="00C66C71"/>
    <w:rsid w:val="00C74997"/>
    <w:rsid w:val="00C75516"/>
    <w:rsid w:val="00C76FF2"/>
    <w:rsid w:val="00C83C21"/>
    <w:rsid w:val="00C83D42"/>
    <w:rsid w:val="00C9351C"/>
    <w:rsid w:val="00CA1B87"/>
    <w:rsid w:val="00CA41E5"/>
    <w:rsid w:val="00CB33B8"/>
    <w:rsid w:val="00CC0638"/>
    <w:rsid w:val="00CC521F"/>
    <w:rsid w:val="00CC79B6"/>
    <w:rsid w:val="00CD4C7B"/>
    <w:rsid w:val="00CD4D24"/>
    <w:rsid w:val="00CD4E42"/>
    <w:rsid w:val="00CD50B5"/>
    <w:rsid w:val="00CD639D"/>
    <w:rsid w:val="00CE142C"/>
    <w:rsid w:val="00CE1959"/>
    <w:rsid w:val="00CE2BC2"/>
    <w:rsid w:val="00CE3A09"/>
    <w:rsid w:val="00CF0BC9"/>
    <w:rsid w:val="00CF4F58"/>
    <w:rsid w:val="00D0356F"/>
    <w:rsid w:val="00D07C77"/>
    <w:rsid w:val="00D14474"/>
    <w:rsid w:val="00D17490"/>
    <w:rsid w:val="00D211C8"/>
    <w:rsid w:val="00D2220A"/>
    <w:rsid w:val="00D23327"/>
    <w:rsid w:val="00D2497F"/>
    <w:rsid w:val="00D25866"/>
    <w:rsid w:val="00D312B6"/>
    <w:rsid w:val="00D4191C"/>
    <w:rsid w:val="00D447C2"/>
    <w:rsid w:val="00D50E3F"/>
    <w:rsid w:val="00D53C98"/>
    <w:rsid w:val="00D57CF3"/>
    <w:rsid w:val="00D61F86"/>
    <w:rsid w:val="00D647F5"/>
    <w:rsid w:val="00D75145"/>
    <w:rsid w:val="00D803A9"/>
    <w:rsid w:val="00D81ADD"/>
    <w:rsid w:val="00D82AE7"/>
    <w:rsid w:val="00D92087"/>
    <w:rsid w:val="00DA2F15"/>
    <w:rsid w:val="00DB13C3"/>
    <w:rsid w:val="00DB1DF9"/>
    <w:rsid w:val="00DB3C8E"/>
    <w:rsid w:val="00DB4B58"/>
    <w:rsid w:val="00DB5AE1"/>
    <w:rsid w:val="00DC035E"/>
    <w:rsid w:val="00DC7BAD"/>
    <w:rsid w:val="00DD2C45"/>
    <w:rsid w:val="00DD2E2A"/>
    <w:rsid w:val="00DD65E0"/>
    <w:rsid w:val="00DD7645"/>
    <w:rsid w:val="00DD7D05"/>
    <w:rsid w:val="00DE1E37"/>
    <w:rsid w:val="00DF2A7E"/>
    <w:rsid w:val="00DF377F"/>
    <w:rsid w:val="00DF49AB"/>
    <w:rsid w:val="00DF6FD2"/>
    <w:rsid w:val="00E01519"/>
    <w:rsid w:val="00E11A10"/>
    <w:rsid w:val="00E11BE7"/>
    <w:rsid w:val="00E11EA1"/>
    <w:rsid w:val="00E13D09"/>
    <w:rsid w:val="00E14825"/>
    <w:rsid w:val="00E15B1C"/>
    <w:rsid w:val="00E34755"/>
    <w:rsid w:val="00E41DA2"/>
    <w:rsid w:val="00E43A73"/>
    <w:rsid w:val="00E5463A"/>
    <w:rsid w:val="00E57CB4"/>
    <w:rsid w:val="00E61F83"/>
    <w:rsid w:val="00E70973"/>
    <w:rsid w:val="00E71995"/>
    <w:rsid w:val="00E73705"/>
    <w:rsid w:val="00E75A23"/>
    <w:rsid w:val="00E824B5"/>
    <w:rsid w:val="00E93186"/>
    <w:rsid w:val="00E949D5"/>
    <w:rsid w:val="00E95CDB"/>
    <w:rsid w:val="00E9615D"/>
    <w:rsid w:val="00E9771B"/>
    <w:rsid w:val="00EA2107"/>
    <w:rsid w:val="00EA4F19"/>
    <w:rsid w:val="00EB008B"/>
    <w:rsid w:val="00EB089D"/>
    <w:rsid w:val="00EB651E"/>
    <w:rsid w:val="00EB7E86"/>
    <w:rsid w:val="00EC095F"/>
    <w:rsid w:val="00EC6BD5"/>
    <w:rsid w:val="00EE7153"/>
    <w:rsid w:val="00EF4276"/>
    <w:rsid w:val="00EF7CEC"/>
    <w:rsid w:val="00F061E4"/>
    <w:rsid w:val="00F125C7"/>
    <w:rsid w:val="00F139F5"/>
    <w:rsid w:val="00F14EB9"/>
    <w:rsid w:val="00F23D49"/>
    <w:rsid w:val="00F2467A"/>
    <w:rsid w:val="00F43A61"/>
    <w:rsid w:val="00F6292B"/>
    <w:rsid w:val="00F63A61"/>
    <w:rsid w:val="00F65C3B"/>
    <w:rsid w:val="00F66DA7"/>
    <w:rsid w:val="00F7268B"/>
    <w:rsid w:val="00F730EF"/>
    <w:rsid w:val="00F77B63"/>
    <w:rsid w:val="00F82035"/>
    <w:rsid w:val="00F90532"/>
    <w:rsid w:val="00F91BCA"/>
    <w:rsid w:val="00F9253E"/>
    <w:rsid w:val="00F97553"/>
    <w:rsid w:val="00FA298E"/>
    <w:rsid w:val="00FA50E8"/>
    <w:rsid w:val="00FA64CD"/>
    <w:rsid w:val="00FA72A6"/>
    <w:rsid w:val="00FA76FF"/>
    <w:rsid w:val="00FC051A"/>
    <w:rsid w:val="00FC1B45"/>
    <w:rsid w:val="00FC2EF5"/>
    <w:rsid w:val="00FC3C09"/>
    <w:rsid w:val="00FC3E11"/>
    <w:rsid w:val="00FD23B6"/>
    <w:rsid w:val="00FD264B"/>
    <w:rsid w:val="00FE007E"/>
    <w:rsid w:val="00FE23B0"/>
    <w:rsid w:val="00FE3E71"/>
    <w:rsid w:val="00FE5372"/>
    <w:rsid w:val="00FE64CB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0D46D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0D46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61B2-95DE-4F29-A629-29D58F71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7</Pages>
  <Words>2026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Helena de Almeida Pereira Marques</cp:lastModifiedBy>
  <cp:revision>150</cp:revision>
  <cp:lastPrinted>2023-07-21T14:37:00Z</cp:lastPrinted>
  <dcterms:created xsi:type="dcterms:W3CDTF">2023-04-16T20:38:00Z</dcterms:created>
  <dcterms:modified xsi:type="dcterms:W3CDTF">2023-07-25T15:47:00Z</dcterms:modified>
</cp:coreProperties>
</file>