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7BA7C" w14:textId="5E7DA7EB" w:rsidR="00507B75" w:rsidRPr="00E30BBE" w:rsidRDefault="00507B75" w:rsidP="00BB1ECF">
      <w:pPr>
        <w:pStyle w:val="Lei"/>
        <w:rPr>
          <w:rStyle w:val="nfase"/>
          <w:rFonts w:cs="Times New Roman"/>
          <w:i w:val="0"/>
        </w:rPr>
      </w:pPr>
      <w:r w:rsidRPr="00E30BBE">
        <w:t>decreto Nº</w:t>
      </w:r>
      <w:r w:rsidR="00BB1ECF">
        <w:t xml:space="preserve"> </w:t>
      </w:r>
      <w:r w:rsidR="00E12193">
        <w:t>22.729, de 6 de junho de 2024.</w:t>
      </w:r>
    </w:p>
    <w:p w14:paraId="1AD9DE92" w14:textId="77777777" w:rsidR="00507B75" w:rsidRDefault="00507B75" w:rsidP="00BB1ECF">
      <w:pPr>
        <w:pStyle w:val="Ementa"/>
        <w:rPr>
          <w:rStyle w:val="nfase"/>
          <w:rFonts w:ascii="Times New Roman" w:hAnsi="Times New Roman" w:cs="Times New Roman"/>
          <w:i w:val="0"/>
          <w:sz w:val="24"/>
          <w:szCs w:val="24"/>
        </w:rPr>
      </w:pPr>
    </w:p>
    <w:p w14:paraId="4E09CE0D" w14:textId="77777777" w:rsidR="00BB1ECF" w:rsidRDefault="00BB1ECF" w:rsidP="00BB1ECF"/>
    <w:p w14:paraId="594DC08F" w14:textId="77777777" w:rsidR="00BB1ECF" w:rsidRPr="00BB1ECF" w:rsidRDefault="00BB1ECF" w:rsidP="00BB1ECF"/>
    <w:p w14:paraId="333C515E" w14:textId="5700B2AF" w:rsidR="00D3113F" w:rsidRDefault="00D3113F" w:rsidP="00BB1ECF">
      <w:pPr>
        <w:pStyle w:val="Ementa"/>
        <w:rPr>
          <w:rStyle w:val="nfase"/>
          <w:rFonts w:ascii="Times New Roman" w:hAnsi="Times New Roman" w:cs="Times New Roman"/>
          <w:i w:val="0"/>
          <w:sz w:val="24"/>
          <w:szCs w:val="24"/>
        </w:rPr>
      </w:pP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Dispõe sobre o Programa de Recuperação Fiscal </w:t>
      </w:r>
      <w:proofErr w:type="spellStart"/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>RecuperaPOA</w:t>
      </w:r>
      <w:proofErr w:type="spellEnd"/>
      <w:r w:rsidR="002A43E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2024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>, no âmbito da Secretaria Municipal da Fazenda</w:t>
      </w:r>
      <w:r w:rsidR="000B6B4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(SMF)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e da Procuradoria-Geral do Município</w:t>
      </w:r>
      <w:r w:rsidR="000B6B45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(PGM)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de que trata a Lei Complementar nº </w:t>
      </w:r>
      <w:r w:rsidR="0061740A">
        <w:rPr>
          <w:rStyle w:val="nfase"/>
          <w:rFonts w:ascii="Times New Roman" w:hAnsi="Times New Roman" w:cs="Times New Roman"/>
          <w:i w:val="0"/>
          <w:sz w:val="24"/>
          <w:szCs w:val="24"/>
        </w:rPr>
        <w:t>1.013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, de </w:t>
      </w:r>
      <w:r w:rsidR="0061740A">
        <w:rPr>
          <w:rStyle w:val="nfase"/>
          <w:rFonts w:ascii="Times New Roman" w:hAnsi="Times New Roman" w:cs="Times New Roman"/>
          <w:i w:val="0"/>
          <w:sz w:val="24"/>
          <w:szCs w:val="24"/>
        </w:rPr>
        <w:t>31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740A">
        <w:rPr>
          <w:rStyle w:val="nfase"/>
          <w:rFonts w:ascii="Times New Roman" w:hAnsi="Times New Roman" w:cs="Times New Roman"/>
          <w:i w:val="0"/>
          <w:sz w:val="24"/>
          <w:szCs w:val="24"/>
        </w:rPr>
        <w:t>maio</w:t>
      </w:r>
      <w:r w:rsidR="00E421B1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Pr="00D3113F">
        <w:rPr>
          <w:rStyle w:val="nfase"/>
          <w:rFonts w:ascii="Times New Roman" w:hAnsi="Times New Roman" w:cs="Times New Roman"/>
          <w:i w:val="0"/>
          <w:sz w:val="24"/>
          <w:szCs w:val="24"/>
        </w:rPr>
        <w:t>.</w:t>
      </w:r>
    </w:p>
    <w:p w14:paraId="2C0A642F" w14:textId="77777777" w:rsidR="00507B75" w:rsidRDefault="00507B75" w:rsidP="00BB1ECF">
      <w:pPr>
        <w:pStyle w:val="DTexto"/>
        <w:spacing w:after="0"/>
        <w:ind w:left="4961" w:firstLine="0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</w:p>
    <w:p w14:paraId="17B26E55" w14:textId="77777777" w:rsidR="00BB1ECF" w:rsidRPr="00E30BBE" w:rsidRDefault="00BB1ECF" w:rsidP="00BB1ECF">
      <w:pPr>
        <w:pStyle w:val="DTexto"/>
        <w:spacing w:after="0"/>
        <w:ind w:left="4961" w:firstLine="0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</w:p>
    <w:p w14:paraId="25B21B2B" w14:textId="77777777" w:rsidR="00B14AAE" w:rsidRDefault="00507B75" w:rsidP="00BB1ECF">
      <w:pPr>
        <w:pStyle w:val="D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B14AAE">
        <w:rPr>
          <w:rStyle w:val="Forte"/>
          <w:rFonts w:ascii="Times New Roman" w:hAnsi="Times New Roman" w:cs="Times New Roman"/>
          <w:b w:val="0"/>
          <w:sz w:val="24"/>
          <w:szCs w:val="24"/>
        </w:rPr>
        <w:t>O PREFEITO MUNICIPAL DE PORTO ALEGRE,</w:t>
      </w:r>
      <w:r w:rsidRPr="00B14AAE">
        <w:rPr>
          <w:rFonts w:ascii="Times New Roman" w:hAnsi="Times New Roman" w:cs="Times New Roman"/>
          <w:sz w:val="24"/>
          <w:szCs w:val="24"/>
        </w:rPr>
        <w:t xml:space="preserve"> no uso das atribuições que lhe confere o artigo 94</w:t>
      </w:r>
      <w:r w:rsidR="00B14AAE">
        <w:rPr>
          <w:rFonts w:ascii="Times New Roman" w:hAnsi="Times New Roman" w:cs="Times New Roman"/>
          <w:sz w:val="24"/>
          <w:szCs w:val="24"/>
        </w:rPr>
        <w:t>, inciso II,</w:t>
      </w:r>
      <w:r w:rsidR="00D3113F">
        <w:rPr>
          <w:rFonts w:ascii="Times New Roman" w:hAnsi="Times New Roman" w:cs="Times New Roman"/>
          <w:sz w:val="24"/>
          <w:szCs w:val="24"/>
        </w:rPr>
        <w:t xml:space="preserve"> da Lei Orgânica do Município.</w:t>
      </w:r>
    </w:p>
    <w:p w14:paraId="3CC90E06" w14:textId="77777777" w:rsidR="00B14AAE" w:rsidRDefault="00B14AAE" w:rsidP="00BB1ECF">
      <w:pPr>
        <w:pStyle w:val="DTexto"/>
        <w:spacing w:after="0"/>
        <w:ind w:left="708" w:firstLine="1418"/>
        <w:rPr>
          <w:rFonts w:ascii="Times New Roman" w:hAnsi="Times New Roman" w:cs="Times New Roman"/>
          <w:sz w:val="24"/>
          <w:szCs w:val="24"/>
        </w:rPr>
      </w:pPr>
    </w:p>
    <w:p w14:paraId="082BC803" w14:textId="77777777" w:rsidR="00507B75" w:rsidRPr="00E30BBE" w:rsidRDefault="00507B75" w:rsidP="00BB1ECF">
      <w:pPr>
        <w:pStyle w:val="DTexto"/>
        <w:spacing w:after="0"/>
        <w:ind w:left="70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A4C7AD" w14:textId="77777777" w:rsidR="00507B75" w:rsidRPr="00E30BBE" w:rsidRDefault="00507B75" w:rsidP="00BB1ECF">
      <w:pPr>
        <w:pStyle w:val="DTexto"/>
        <w:spacing w:after="0"/>
        <w:ind w:left="708" w:firstLine="0"/>
        <w:jc w:val="center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  <w:r w:rsidRPr="00E30BBE"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  <w:t>D E C R E T A:</w:t>
      </w:r>
    </w:p>
    <w:p w14:paraId="568CEE3F" w14:textId="77777777" w:rsidR="00507B75" w:rsidRPr="00E30BBE" w:rsidRDefault="00507B75" w:rsidP="00BB1ECF">
      <w:pPr>
        <w:pStyle w:val="DTexto"/>
        <w:spacing w:after="0"/>
        <w:ind w:left="708" w:firstLine="0"/>
        <w:jc w:val="center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</w:p>
    <w:p w14:paraId="779CBBC7" w14:textId="77777777" w:rsidR="00507B75" w:rsidRPr="00E30BBE" w:rsidRDefault="00507B75" w:rsidP="00BB1ECF">
      <w:pPr>
        <w:pStyle w:val="DTexto"/>
        <w:spacing w:after="0"/>
        <w:ind w:left="708" w:firstLine="0"/>
        <w:jc w:val="center"/>
        <w:rPr>
          <w:rStyle w:val="Forte"/>
          <w:rFonts w:ascii="Times New Roman" w:hAnsi="Times New Roman" w:cs="Times New Roman"/>
          <w:b w:val="0"/>
          <w:spacing w:val="20"/>
          <w:sz w:val="24"/>
          <w:szCs w:val="24"/>
        </w:rPr>
      </w:pPr>
    </w:p>
    <w:p w14:paraId="52DCB9C7" w14:textId="77777777" w:rsidR="00457100" w:rsidRPr="009304EE" w:rsidRDefault="00457100" w:rsidP="00A65E44">
      <w:pPr>
        <w:ind w:firstLine="1418"/>
        <w:jc w:val="both"/>
      </w:pPr>
      <w:r w:rsidRPr="00457100">
        <w:rPr>
          <w:b/>
        </w:rPr>
        <w:t>Art. 1</w:t>
      </w:r>
      <w:proofErr w:type="gramStart"/>
      <w:r w:rsidRPr="00457100">
        <w:rPr>
          <w:b/>
        </w:rPr>
        <w:t xml:space="preserve">º </w:t>
      </w:r>
      <w:r w:rsidR="00331277">
        <w:rPr>
          <w:b/>
        </w:rPr>
        <w:t xml:space="preserve"> </w:t>
      </w:r>
      <w:r w:rsidR="00D3113F">
        <w:t>Fica</w:t>
      </w:r>
      <w:proofErr w:type="gramEnd"/>
      <w:r w:rsidR="00D3113F">
        <w:t xml:space="preserve"> </w:t>
      </w:r>
      <w:r w:rsidR="00D3113F" w:rsidRPr="009304EE">
        <w:t xml:space="preserve">regulamentada a Lei Complementar nº </w:t>
      </w:r>
      <w:r w:rsidR="0061740A">
        <w:t>1.013</w:t>
      </w:r>
      <w:r w:rsidR="00D3113F" w:rsidRPr="009304EE">
        <w:t xml:space="preserve">, de </w:t>
      </w:r>
      <w:r w:rsidR="0061740A">
        <w:t xml:space="preserve">31 </w:t>
      </w:r>
      <w:r w:rsidR="00D3113F" w:rsidRPr="009304EE">
        <w:t xml:space="preserve">de </w:t>
      </w:r>
      <w:r w:rsidR="0061740A">
        <w:t>maio</w:t>
      </w:r>
      <w:r w:rsidR="00D3113F" w:rsidRPr="009304EE">
        <w:t xml:space="preserve"> de 202</w:t>
      </w:r>
      <w:r w:rsidR="00E421B1" w:rsidRPr="009304EE">
        <w:t>4</w:t>
      </w:r>
      <w:r w:rsidR="00D3113F" w:rsidRPr="009304EE">
        <w:t xml:space="preserve">, que instituiu o Programa de Recuperação Fiscal </w:t>
      </w:r>
      <w:proofErr w:type="spellStart"/>
      <w:r w:rsidR="00D3113F" w:rsidRPr="009304EE">
        <w:t>RecuperaPOA</w:t>
      </w:r>
      <w:proofErr w:type="spellEnd"/>
      <w:r w:rsidR="002A43E5" w:rsidRPr="009304EE">
        <w:t xml:space="preserve"> 2024</w:t>
      </w:r>
      <w:r w:rsidR="00D3113F" w:rsidRPr="009304EE">
        <w:t>, nos termos deste Decreto.</w:t>
      </w:r>
    </w:p>
    <w:p w14:paraId="78CFE420" w14:textId="77777777" w:rsidR="00457100" w:rsidRPr="009304EE" w:rsidRDefault="00457100" w:rsidP="00A65E44">
      <w:pPr>
        <w:ind w:firstLine="1418"/>
        <w:jc w:val="both"/>
        <w:rPr>
          <w:b/>
        </w:rPr>
      </w:pPr>
    </w:p>
    <w:p w14:paraId="5A6FA1D9" w14:textId="77777777" w:rsidR="00663904" w:rsidRPr="0068730C" w:rsidRDefault="00457100" w:rsidP="00A65E44">
      <w:pPr>
        <w:ind w:firstLine="1418"/>
        <w:jc w:val="both"/>
      </w:pPr>
      <w:r w:rsidRPr="009304EE">
        <w:rPr>
          <w:b/>
        </w:rPr>
        <w:t>Art. 2</w:t>
      </w:r>
      <w:proofErr w:type="gramStart"/>
      <w:r w:rsidRPr="009304EE">
        <w:rPr>
          <w:b/>
        </w:rPr>
        <w:t>º</w:t>
      </w:r>
      <w:r w:rsidRPr="009304EE">
        <w:t xml:space="preserve"> </w:t>
      </w:r>
      <w:r w:rsidR="00331277" w:rsidRPr="009304EE">
        <w:t xml:space="preserve"> </w:t>
      </w:r>
      <w:r w:rsidR="00477DEC" w:rsidRPr="009304EE">
        <w:t>A</w:t>
      </w:r>
      <w:proofErr w:type="gramEnd"/>
      <w:r w:rsidR="00477DEC" w:rsidRPr="009304EE">
        <w:t xml:space="preserve"> </w:t>
      </w:r>
      <w:r w:rsidR="00475BD0" w:rsidRPr="009304EE">
        <w:t xml:space="preserve">solicitação de </w:t>
      </w:r>
      <w:r w:rsidR="00477DEC" w:rsidRPr="009304EE">
        <w:t xml:space="preserve">adesão ao </w:t>
      </w:r>
      <w:proofErr w:type="spellStart"/>
      <w:r w:rsidR="00477DEC" w:rsidRPr="009304EE">
        <w:t>RecuperaPOA</w:t>
      </w:r>
      <w:proofErr w:type="spellEnd"/>
      <w:r w:rsidR="00477DEC" w:rsidRPr="009304EE">
        <w:t xml:space="preserve"> 2024, com a redução prevista no § 1º do art. 2º da Lei Complementar </w:t>
      </w:r>
      <w:r w:rsidR="0061740A" w:rsidRPr="009304EE">
        <w:t>nº</w:t>
      </w:r>
      <w:r w:rsidR="0061740A">
        <w:t xml:space="preserve"> 1.013</w:t>
      </w:r>
      <w:r w:rsidR="00477DEC" w:rsidRPr="009304EE">
        <w:t>, de 2024</w:t>
      </w:r>
      <w:r w:rsidR="00663904" w:rsidRPr="009304EE">
        <w:t>:</w:t>
      </w:r>
    </w:p>
    <w:p w14:paraId="07A0F659" w14:textId="77777777" w:rsidR="00663904" w:rsidRPr="0068730C" w:rsidRDefault="00663904" w:rsidP="00A65E44">
      <w:pPr>
        <w:ind w:firstLine="1418"/>
        <w:jc w:val="both"/>
      </w:pPr>
    </w:p>
    <w:p w14:paraId="4517791E" w14:textId="77777777" w:rsidR="00477DEC" w:rsidRPr="0068730C" w:rsidRDefault="00663904" w:rsidP="00A65E44">
      <w:pPr>
        <w:ind w:firstLine="1418"/>
        <w:jc w:val="both"/>
        <w:rPr>
          <w:b/>
        </w:rPr>
      </w:pPr>
      <w:r w:rsidRPr="0068730C">
        <w:t xml:space="preserve">I </w:t>
      </w:r>
      <w:r w:rsidR="0068730C">
        <w:t>–</w:t>
      </w:r>
      <w:r w:rsidRPr="0068730C">
        <w:t xml:space="preserve"> </w:t>
      </w:r>
      <w:proofErr w:type="gramStart"/>
      <w:r w:rsidR="00477DEC" w:rsidRPr="0068730C">
        <w:t>deverá</w:t>
      </w:r>
      <w:proofErr w:type="gramEnd"/>
      <w:r w:rsidR="0068730C">
        <w:t xml:space="preserve"> </w:t>
      </w:r>
      <w:r w:rsidR="00477DEC" w:rsidRPr="0068730C">
        <w:t>ser requerida no sítio eletrônico recupera.poa.br até o dia 29 de julho de 2024</w:t>
      </w:r>
      <w:r w:rsidR="0068730C">
        <w:t>;</w:t>
      </w:r>
    </w:p>
    <w:p w14:paraId="308E4400" w14:textId="77777777" w:rsidR="00781BAE" w:rsidRPr="0068730C" w:rsidRDefault="00781BAE" w:rsidP="00A65E44">
      <w:pPr>
        <w:ind w:firstLine="1418"/>
        <w:jc w:val="both"/>
        <w:rPr>
          <w:b/>
        </w:rPr>
      </w:pPr>
    </w:p>
    <w:p w14:paraId="5CD36E25" w14:textId="77777777" w:rsidR="00457100" w:rsidRDefault="00663904" w:rsidP="00A65E44">
      <w:pPr>
        <w:ind w:firstLine="1418"/>
        <w:jc w:val="both"/>
      </w:pPr>
      <w:r w:rsidRPr="0068730C">
        <w:t xml:space="preserve">II </w:t>
      </w:r>
      <w:r w:rsidR="0068730C">
        <w:rPr>
          <w:b/>
        </w:rPr>
        <w:t>–</w:t>
      </w:r>
      <w:r>
        <w:rPr>
          <w:b/>
        </w:rPr>
        <w:t xml:space="preserve"> </w:t>
      </w:r>
      <w:proofErr w:type="gramStart"/>
      <w:r w:rsidR="0065362E" w:rsidRPr="0068730C">
        <w:t>ocorrerá</w:t>
      </w:r>
      <w:proofErr w:type="gramEnd"/>
      <w:r w:rsidR="0068730C">
        <w:t xml:space="preserve"> </w:t>
      </w:r>
      <w:r w:rsidR="0065362E" w:rsidRPr="0068730C">
        <w:t xml:space="preserve">com o pagamento </w:t>
      </w:r>
      <w:r w:rsidR="000719F4" w:rsidRPr="0068730C">
        <w:t>d</w:t>
      </w:r>
      <w:r w:rsidR="00D3113F" w:rsidRPr="0068730C">
        <w:t xml:space="preserve">a </w:t>
      </w:r>
      <w:r w:rsidR="000719F4" w:rsidRPr="0068730C">
        <w:t>guia</w:t>
      </w:r>
      <w:r w:rsidR="00AD1FEE">
        <w:t xml:space="preserve"> de</w:t>
      </w:r>
      <w:r w:rsidR="000719F4" w:rsidRPr="0068730C">
        <w:t xml:space="preserve"> </w:t>
      </w:r>
      <w:r w:rsidR="0065362E" w:rsidRPr="0068730C">
        <w:t>recolhimento</w:t>
      </w:r>
      <w:r w:rsidR="00AD1FEE">
        <w:t>,</w:t>
      </w:r>
      <w:r w:rsidR="00D3113F" w:rsidRPr="00D3113F">
        <w:t xml:space="preserve"> </w:t>
      </w:r>
      <w:r w:rsidR="0065362E">
        <w:t xml:space="preserve">obtida </w:t>
      </w:r>
      <w:r w:rsidR="00D3113F" w:rsidRPr="00D3113F">
        <w:t>mediante identificação por Cadastro de Pessoas Físicas (CPF) ou Cadastro Nacional da Pessoa Jurídica (CNPJ) e inscrição imobiliária no caso de IPTU/TCL</w:t>
      </w:r>
      <w:r w:rsidR="00AD1FEE">
        <w:t>;</w:t>
      </w:r>
    </w:p>
    <w:p w14:paraId="3635597C" w14:textId="77777777" w:rsidR="00663904" w:rsidRDefault="00663904" w:rsidP="00A65E44">
      <w:pPr>
        <w:ind w:firstLine="1418"/>
        <w:jc w:val="both"/>
      </w:pPr>
    </w:p>
    <w:p w14:paraId="37B6ADEF" w14:textId="77777777" w:rsidR="005C14E4" w:rsidRDefault="00663904" w:rsidP="00A65E44">
      <w:pPr>
        <w:ind w:firstLine="1418"/>
        <w:jc w:val="both"/>
      </w:pPr>
      <w:r>
        <w:t>I</w:t>
      </w:r>
      <w:r w:rsidR="00AD1FEE">
        <w:t>II</w:t>
      </w:r>
      <w:r>
        <w:t xml:space="preserve"> </w:t>
      </w:r>
      <w:r w:rsidR="00AD1FEE">
        <w:t>–</w:t>
      </w:r>
      <w:r>
        <w:t xml:space="preserve"> </w:t>
      </w:r>
      <w:r w:rsidR="005C14E4">
        <w:t>resultará n</w:t>
      </w:r>
      <w:r w:rsidR="005C14E4" w:rsidRPr="005C14E4">
        <w:t xml:space="preserve">o Termo de Adesão ao </w:t>
      </w:r>
      <w:proofErr w:type="spellStart"/>
      <w:r w:rsidR="005C14E4" w:rsidRPr="005C14E4">
        <w:t>RecuperaPOA</w:t>
      </w:r>
      <w:proofErr w:type="spellEnd"/>
      <w:r w:rsidR="005C14E4" w:rsidRPr="005C14E4">
        <w:t xml:space="preserve"> 2024</w:t>
      </w:r>
      <w:r w:rsidR="005C14E4">
        <w:t>, que</w:t>
      </w:r>
      <w:r w:rsidR="005C14E4" w:rsidRPr="005C14E4">
        <w:t xml:space="preserve"> conterá:</w:t>
      </w:r>
    </w:p>
    <w:p w14:paraId="763B7307" w14:textId="77777777" w:rsidR="000719F4" w:rsidRDefault="000719F4" w:rsidP="00A65E44">
      <w:pPr>
        <w:ind w:firstLine="1418"/>
        <w:jc w:val="both"/>
        <w:rPr>
          <w:b/>
        </w:rPr>
      </w:pPr>
    </w:p>
    <w:p w14:paraId="61B8BF23" w14:textId="77777777" w:rsidR="00D3113F" w:rsidRDefault="00663904" w:rsidP="00A65E44">
      <w:pPr>
        <w:ind w:firstLine="1418"/>
        <w:jc w:val="both"/>
      </w:pPr>
      <w:r>
        <w:t>a)</w:t>
      </w:r>
      <w:r w:rsidR="00FA69CA" w:rsidRPr="002016A7">
        <w:t xml:space="preserve"> a c</w:t>
      </w:r>
      <w:r w:rsidR="00D3113F" w:rsidRPr="002016A7">
        <w:t>onsolida</w:t>
      </w:r>
      <w:r w:rsidR="00FA69CA" w:rsidRPr="002016A7">
        <w:t>ção dos</w:t>
      </w:r>
      <w:r w:rsidR="00D3113F" w:rsidRPr="002016A7">
        <w:t xml:space="preserve"> </w:t>
      </w:r>
      <w:r w:rsidR="00FA69CA" w:rsidRPr="002016A7">
        <w:t>d</w:t>
      </w:r>
      <w:r w:rsidR="000719F4" w:rsidRPr="002016A7">
        <w:t>ébitos</w:t>
      </w:r>
      <w:r w:rsidR="00D3113F" w:rsidRPr="002016A7">
        <w:t>;</w:t>
      </w:r>
      <w:r w:rsidR="007A7FB6" w:rsidRPr="002016A7">
        <w:t xml:space="preserve"> e</w:t>
      </w:r>
    </w:p>
    <w:p w14:paraId="07899BA0" w14:textId="77777777" w:rsidR="00D3113F" w:rsidRDefault="00D3113F" w:rsidP="00A65E44">
      <w:pPr>
        <w:ind w:firstLine="1418"/>
        <w:jc w:val="both"/>
      </w:pPr>
    </w:p>
    <w:p w14:paraId="452410E8" w14:textId="77777777" w:rsidR="007A7FB6" w:rsidRDefault="00663904" w:rsidP="00A65E44">
      <w:pPr>
        <w:ind w:firstLine="1418"/>
        <w:jc w:val="both"/>
        <w:rPr>
          <w:color w:val="000000"/>
        </w:rPr>
      </w:pPr>
      <w:r>
        <w:t xml:space="preserve">b) </w:t>
      </w:r>
      <w:r w:rsidR="007A7FB6">
        <w:t xml:space="preserve">a </w:t>
      </w:r>
      <w:r w:rsidR="007A7FB6">
        <w:rPr>
          <w:color w:val="000000"/>
        </w:rPr>
        <w:t>desistência das mediações tributárias, bem como das reclamações e recursos administrativos que contestem os débitos quitados por meio deste programa, e das ações judiciais que tratem desses débitos, além da renúncia a quaisquer alegações de direito sobre as quais se fundem as referidas mediações tributárias, ações ou impugnações.</w:t>
      </w:r>
    </w:p>
    <w:p w14:paraId="13A96E93" w14:textId="77777777" w:rsidR="00DA3F33" w:rsidRDefault="00DA3F33" w:rsidP="00A65E44">
      <w:pPr>
        <w:ind w:firstLine="1418"/>
        <w:jc w:val="both"/>
        <w:rPr>
          <w:b/>
          <w:highlight w:val="yellow"/>
        </w:rPr>
      </w:pPr>
    </w:p>
    <w:p w14:paraId="6603AC28" w14:textId="1CD964B5" w:rsidR="00E87C07" w:rsidRPr="00E87C07" w:rsidRDefault="0061740A" w:rsidP="00A65E44">
      <w:pPr>
        <w:ind w:firstLine="1418"/>
        <w:jc w:val="both"/>
      </w:pPr>
      <w:r>
        <w:rPr>
          <w:b/>
        </w:rPr>
        <w:t>§ 1</w:t>
      </w:r>
      <w:proofErr w:type="gramStart"/>
      <w:r>
        <w:rPr>
          <w:b/>
        </w:rPr>
        <w:t xml:space="preserve">º </w:t>
      </w:r>
      <w:r w:rsidR="00BB1ECF">
        <w:rPr>
          <w:b/>
        </w:rPr>
        <w:t xml:space="preserve"> </w:t>
      </w:r>
      <w:r w:rsidR="00E87C07" w:rsidRPr="00E87C07">
        <w:t>O</w:t>
      </w:r>
      <w:proofErr w:type="gramEnd"/>
      <w:r w:rsidR="00E87C07" w:rsidRPr="00E87C07">
        <w:t xml:space="preserve"> Termo de Adesão ao </w:t>
      </w:r>
      <w:proofErr w:type="spellStart"/>
      <w:r w:rsidR="00E87C07" w:rsidRPr="00E87C07">
        <w:t>RecuperaPOA</w:t>
      </w:r>
      <w:proofErr w:type="spellEnd"/>
      <w:r w:rsidR="00E87C07" w:rsidRPr="00E87C07">
        <w:t xml:space="preserve"> 2024 será disponibilizado mediante aceite eletrônico das condições estabelecidas na Lei  Complementar </w:t>
      </w:r>
      <w:r w:rsidRPr="009304EE">
        <w:t>nº</w:t>
      </w:r>
      <w:r>
        <w:t xml:space="preserve"> 1.013</w:t>
      </w:r>
      <w:r w:rsidR="00E87C07" w:rsidRPr="00E87C07">
        <w:t>, de 2024.</w:t>
      </w:r>
    </w:p>
    <w:p w14:paraId="35F0618F" w14:textId="77777777" w:rsidR="00E87C07" w:rsidRDefault="00E87C07" w:rsidP="00A65E44">
      <w:pPr>
        <w:ind w:firstLine="1418"/>
        <w:jc w:val="both"/>
        <w:rPr>
          <w:b/>
        </w:rPr>
      </w:pPr>
    </w:p>
    <w:p w14:paraId="61DB7B6C" w14:textId="5AF941C1" w:rsidR="00E87C07" w:rsidRDefault="00E87C07" w:rsidP="00A65E44">
      <w:pPr>
        <w:ind w:firstLine="1418"/>
        <w:jc w:val="both"/>
        <w:rPr>
          <w:b/>
        </w:rPr>
      </w:pPr>
      <w:r w:rsidRPr="00E87C07">
        <w:rPr>
          <w:b/>
        </w:rPr>
        <w:t>§ 2</w:t>
      </w:r>
      <w:proofErr w:type="gramStart"/>
      <w:r w:rsidRPr="00E87C07">
        <w:rPr>
          <w:b/>
        </w:rPr>
        <w:t xml:space="preserve">º </w:t>
      </w:r>
      <w:r w:rsidR="00BB1ECF">
        <w:rPr>
          <w:b/>
        </w:rPr>
        <w:t xml:space="preserve"> </w:t>
      </w:r>
      <w:r w:rsidRPr="00E87C07">
        <w:t>A</w:t>
      </w:r>
      <w:proofErr w:type="gramEnd"/>
      <w:r w:rsidRPr="00E87C07">
        <w:t xml:space="preserve"> disponibilização, no sítio eletrônico recupera.poa.br, de débitos não inscritos em dívida ativa, com exigibilidade suspensa ou com discussões administrativas e </w:t>
      </w:r>
      <w:r w:rsidRPr="00E87C07">
        <w:lastRenderedPageBreak/>
        <w:t>judiciais exigirá informações adicionais constantes nos instrumentos fiscais de conhecimento do sujeito passivo.</w:t>
      </w:r>
    </w:p>
    <w:p w14:paraId="3C1ABB39" w14:textId="77777777" w:rsidR="00E87C07" w:rsidRPr="00E87C07" w:rsidRDefault="00E87C07" w:rsidP="00A65E44">
      <w:pPr>
        <w:ind w:firstLine="1418"/>
        <w:jc w:val="both"/>
        <w:rPr>
          <w:b/>
        </w:rPr>
      </w:pPr>
    </w:p>
    <w:p w14:paraId="688D3D24" w14:textId="4E900D22" w:rsidR="00E87C07" w:rsidRPr="00E87C07" w:rsidRDefault="00E87C07" w:rsidP="00A65E44">
      <w:pPr>
        <w:ind w:firstLine="1418"/>
        <w:jc w:val="both"/>
      </w:pPr>
      <w:r w:rsidRPr="00E87C07">
        <w:rPr>
          <w:b/>
        </w:rPr>
        <w:t>§ 3</w:t>
      </w:r>
      <w:proofErr w:type="gramStart"/>
      <w:r w:rsidRPr="00E87C07">
        <w:rPr>
          <w:b/>
        </w:rPr>
        <w:t xml:space="preserve">º </w:t>
      </w:r>
      <w:r w:rsidR="00E36665">
        <w:rPr>
          <w:b/>
        </w:rPr>
        <w:t xml:space="preserve"> </w:t>
      </w:r>
      <w:r w:rsidRPr="00E87C07">
        <w:t>No</w:t>
      </w:r>
      <w:proofErr w:type="gramEnd"/>
      <w:r w:rsidRPr="00E87C07">
        <w:t xml:space="preserve"> caso de solicitação de emissão de guia para pagamento dos créditos de </w:t>
      </w:r>
      <w:r w:rsidR="00E36665" w:rsidRPr="00E36665">
        <w:t xml:space="preserve">Imposto sobre Transmissão de Bens Imóveis </w:t>
      </w:r>
      <w:r w:rsidR="00E36665">
        <w:t>(</w:t>
      </w:r>
      <w:r w:rsidRPr="00E87C07">
        <w:t>ITBI</w:t>
      </w:r>
      <w:r w:rsidR="00E36665">
        <w:t>)</w:t>
      </w:r>
      <w:r w:rsidRPr="00E87C07">
        <w:t xml:space="preserve"> oriundos de operações de realização de capital, fusão, incorporação, cisão ou extinção de pessoa jurídica, para adesão ao Programa, deverá</w:t>
      </w:r>
      <w:r>
        <w:t xml:space="preserve"> ser</w:t>
      </w:r>
      <w:r w:rsidRPr="00E87C07">
        <w:t xml:space="preserve"> requerida à Receita Municipal até o dia 22 de julho de 2024.</w:t>
      </w:r>
    </w:p>
    <w:p w14:paraId="0D6F7A34" w14:textId="77777777" w:rsidR="00E87C07" w:rsidRPr="00E87C07" w:rsidRDefault="00E87C07" w:rsidP="00A65E44">
      <w:pPr>
        <w:ind w:firstLine="1418"/>
        <w:jc w:val="both"/>
        <w:rPr>
          <w:b/>
        </w:rPr>
      </w:pPr>
    </w:p>
    <w:p w14:paraId="08AFD47E" w14:textId="75201ABA" w:rsidR="00E87C07" w:rsidRPr="00E87C07" w:rsidRDefault="00E87C07" w:rsidP="00A65E44">
      <w:pPr>
        <w:ind w:firstLine="1418"/>
        <w:jc w:val="both"/>
        <w:rPr>
          <w:highlight w:val="yellow"/>
        </w:rPr>
      </w:pPr>
      <w:r w:rsidRPr="00E87C07">
        <w:rPr>
          <w:b/>
        </w:rPr>
        <w:t>§ 4</w:t>
      </w:r>
      <w:proofErr w:type="gramStart"/>
      <w:r w:rsidRPr="00E87C07">
        <w:rPr>
          <w:b/>
        </w:rPr>
        <w:t xml:space="preserve">º </w:t>
      </w:r>
      <w:r w:rsidR="00E36665">
        <w:rPr>
          <w:b/>
        </w:rPr>
        <w:t xml:space="preserve"> </w:t>
      </w:r>
      <w:r w:rsidRPr="00E87C07">
        <w:t>Poderá</w:t>
      </w:r>
      <w:proofErr w:type="gramEnd"/>
      <w:r w:rsidRPr="00E87C07">
        <w:t xml:space="preserve"> ser enviada pela Receita Municipal ao sujeito passivo proposta de adesão com guia de recolhimento, caso em que o seu pagamento importa no aceite das condições previstas na Lei Complementar nº </w:t>
      </w:r>
      <w:r w:rsidR="0061740A">
        <w:t>1.013, de</w:t>
      </w:r>
      <w:r w:rsidRPr="00E87C07">
        <w:t xml:space="preserve"> 2024, e na desistência de que trata a al. </w:t>
      </w:r>
      <w:r w:rsidRPr="00E87C07">
        <w:rPr>
          <w:i/>
        </w:rPr>
        <w:t>b</w:t>
      </w:r>
      <w:r w:rsidRPr="00E87C07">
        <w:t xml:space="preserve"> do inc. III do </w:t>
      </w:r>
      <w:r w:rsidRPr="00E87C07">
        <w:rPr>
          <w:i/>
        </w:rPr>
        <w:t>caput</w:t>
      </w:r>
      <w:r w:rsidR="00E36665">
        <w:rPr>
          <w:i/>
        </w:rPr>
        <w:t xml:space="preserve"> </w:t>
      </w:r>
      <w:r w:rsidR="00E36665" w:rsidRPr="00A65E44">
        <w:rPr>
          <w:iCs/>
        </w:rPr>
        <w:t>deste artigo</w:t>
      </w:r>
      <w:r w:rsidRPr="00E87C07">
        <w:t>, dispensando-se o aceite eletrônico previsto neste artigo.</w:t>
      </w:r>
    </w:p>
    <w:p w14:paraId="5C7790B5" w14:textId="77777777" w:rsidR="00E87C07" w:rsidRDefault="00E87C07" w:rsidP="00A65E44">
      <w:pPr>
        <w:ind w:firstLine="1418"/>
        <w:jc w:val="both"/>
        <w:rPr>
          <w:b/>
          <w:highlight w:val="yellow"/>
        </w:rPr>
      </w:pPr>
    </w:p>
    <w:p w14:paraId="71F74CAA" w14:textId="6CC70927" w:rsidR="00752158" w:rsidRDefault="00D3113F" w:rsidP="00A65E44">
      <w:pPr>
        <w:ind w:firstLine="1418"/>
        <w:jc w:val="both"/>
      </w:pPr>
      <w:r w:rsidRPr="007F5020">
        <w:rPr>
          <w:b/>
        </w:rPr>
        <w:t xml:space="preserve">Art. </w:t>
      </w:r>
      <w:r w:rsidR="00A219FF">
        <w:rPr>
          <w:b/>
        </w:rPr>
        <w:t>3</w:t>
      </w:r>
      <w:proofErr w:type="gramStart"/>
      <w:r w:rsidRPr="007F5020">
        <w:rPr>
          <w:b/>
        </w:rPr>
        <w:t>º</w:t>
      </w:r>
      <w:r>
        <w:t xml:space="preserve"> </w:t>
      </w:r>
      <w:r w:rsidR="00E36665">
        <w:t xml:space="preserve"> </w:t>
      </w:r>
      <w:r w:rsidR="00752158">
        <w:t>A</w:t>
      </w:r>
      <w:proofErr w:type="gramEnd"/>
      <w:r w:rsidR="00752158">
        <w:t xml:space="preserve"> adesão ao </w:t>
      </w:r>
      <w:proofErr w:type="spellStart"/>
      <w:r w:rsidR="00752158">
        <w:t>RecuperaPOA</w:t>
      </w:r>
      <w:proofErr w:type="spellEnd"/>
      <w:r w:rsidR="007F6A16">
        <w:t xml:space="preserve"> 2024</w:t>
      </w:r>
      <w:r w:rsidR="00752158">
        <w:t xml:space="preserve"> estará perfectibilizada somente ap</w:t>
      </w:r>
      <w:r w:rsidR="00DA3F33">
        <w:t xml:space="preserve">ós o pagamento da guia </w:t>
      </w:r>
      <w:r w:rsidR="007F6A16">
        <w:t>de recolhimento</w:t>
      </w:r>
      <w:r w:rsidR="00DA3F33">
        <w:t xml:space="preserve">. </w:t>
      </w:r>
    </w:p>
    <w:p w14:paraId="3744F897" w14:textId="77777777" w:rsidR="00475BD0" w:rsidRDefault="00475BD0" w:rsidP="00A65E44">
      <w:pPr>
        <w:ind w:firstLine="1418"/>
        <w:jc w:val="both"/>
        <w:rPr>
          <w:b/>
        </w:rPr>
      </w:pPr>
    </w:p>
    <w:p w14:paraId="6C0182CF" w14:textId="1E5FA5C5" w:rsidR="00475BD0" w:rsidRDefault="00475BD0" w:rsidP="00A65E44">
      <w:pPr>
        <w:ind w:firstLine="1418"/>
        <w:jc w:val="both"/>
      </w:pPr>
      <w:r w:rsidRPr="00D3113F">
        <w:rPr>
          <w:b/>
        </w:rPr>
        <w:t>§ 1</w:t>
      </w:r>
      <w:proofErr w:type="gramStart"/>
      <w:r w:rsidRPr="00D3113F">
        <w:rPr>
          <w:b/>
        </w:rPr>
        <w:t xml:space="preserve">º </w:t>
      </w:r>
      <w:r w:rsidR="00E36665">
        <w:rPr>
          <w:b/>
        </w:rPr>
        <w:t xml:space="preserve"> </w:t>
      </w:r>
      <w:r w:rsidRPr="004834F5">
        <w:t>A</w:t>
      </w:r>
      <w:proofErr w:type="gramEnd"/>
      <w:r w:rsidRPr="004834F5">
        <w:t xml:space="preserve"> data de vencimento da guia ocorrerá em até 5 (cinco) dias úteis após a </w:t>
      </w:r>
      <w:r>
        <w:t xml:space="preserve">solicitação de </w:t>
      </w:r>
      <w:r w:rsidRPr="004834F5">
        <w:t xml:space="preserve">adesão ao Programa </w:t>
      </w:r>
      <w:proofErr w:type="spellStart"/>
      <w:r w:rsidRPr="004834F5">
        <w:t>RecuperaPOA</w:t>
      </w:r>
      <w:proofErr w:type="spellEnd"/>
      <w:r w:rsidRPr="004834F5">
        <w:t xml:space="preserve"> 2024, desde que dentro do respectivo mês.</w:t>
      </w:r>
    </w:p>
    <w:p w14:paraId="110423C2" w14:textId="77777777" w:rsidR="00475BD0" w:rsidRDefault="00475BD0" w:rsidP="00A65E44">
      <w:pPr>
        <w:ind w:firstLine="1418"/>
        <w:jc w:val="both"/>
        <w:rPr>
          <w:b/>
        </w:rPr>
      </w:pPr>
    </w:p>
    <w:p w14:paraId="66DC73F5" w14:textId="7CEEEDE5" w:rsidR="00475BD0" w:rsidRDefault="00475BD0" w:rsidP="00A65E44">
      <w:pPr>
        <w:ind w:firstLine="1418"/>
        <w:jc w:val="both"/>
      </w:pPr>
      <w:r w:rsidRPr="00D3113F">
        <w:rPr>
          <w:b/>
        </w:rPr>
        <w:t>§ 2</w:t>
      </w:r>
      <w:proofErr w:type="gramStart"/>
      <w:r w:rsidRPr="00D3113F">
        <w:rPr>
          <w:b/>
        </w:rPr>
        <w:t>º</w:t>
      </w:r>
      <w:r w:rsidR="00E36665">
        <w:rPr>
          <w:b/>
        </w:rPr>
        <w:t xml:space="preserve"> </w:t>
      </w:r>
      <w:r w:rsidRPr="00D3113F">
        <w:rPr>
          <w:b/>
        </w:rPr>
        <w:t xml:space="preserve"> </w:t>
      </w:r>
      <w:r w:rsidRPr="00F319DF">
        <w:t>Entre</w:t>
      </w:r>
      <w:proofErr w:type="gramEnd"/>
      <w:r w:rsidRPr="00F319DF">
        <w:t xml:space="preserve"> o período d</w:t>
      </w:r>
      <w:r w:rsidR="00D127F5">
        <w:t>e</w:t>
      </w:r>
      <w:r w:rsidRPr="00F319DF">
        <w:t xml:space="preserve"> </w:t>
      </w:r>
      <w:r w:rsidR="00D127F5" w:rsidRPr="00A219FF">
        <w:t>solicitação de</w:t>
      </w:r>
      <w:r w:rsidRPr="00A219FF">
        <w:t xml:space="preserve"> adesão </w:t>
      </w:r>
      <w:r w:rsidRPr="00F319DF">
        <w:t>e o efetivo pagamento, poderá incidir a atualização monetária dos valores.</w:t>
      </w:r>
    </w:p>
    <w:p w14:paraId="32597DD5" w14:textId="77777777" w:rsidR="00D127F5" w:rsidRDefault="00D127F5" w:rsidP="00A65E44">
      <w:pPr>
        <w:ind w:firstLine="1418"/>
        <w:jc w:val="both"/>
      </w:pPr>
    </w:p>
    <w:p w14:paraId="2E3D2993" w14:textId="074EF643" w:rsidR="00A219FF" w:rsidRDefault="00A219FF" w:rsidP="00A65E44">
      <w:pPr>
        <w:ind w:firstLine="1418"/>
        <w:jc w:val="both"/>
      </w:pPr>
      <w:r w:rsidRPr="007F5020">
        <w:rPr>
          <w:b/>
        </w:rPr>
        <w:t xml:space="preserve">Art. </w:t>
      </w:r>
      <w:r>
        <w:rPr>
          <w:b/>
        </w:rPr>
        <w:t>4</w:t>
      </w:r>
      <w:proofErr w:type="gramStart"/>
      <w:r w:rsidRPr="007F5020">
        <w:rPr>
          <w:b/>
        </w:rPr>
        <w:t>º</w:t>
      </w:r>
      <w:r>
        <w:t xml:space="preserve"> </w:t>
      </w:r>
      <w:r w:rsidR="00E36665">
        <w:t xml:space="preserve"> </w:t>
      </w:r>
      <w:r>
        <w:t>O</w:t>
      </w:r>
      <w:proofErr w:type="gramEnd"/>
      <w:r>
        <w:t xml:space="preserve"> não pagamento da guia até o vencimento permite nova adesão ao </w:t>
      </w:r>
      <w:proofErr w:type="spellStart"/>
      <w:r>
        <w:t>RecuperaPOA</w:t>
      </w:r>
      <w:proofErr w:type="spellEnd"/>
      <w:r>
        <w:t xml:space="preserve"> 2024, desde que a solicitação ocorra dentro do prazo previsto neste decreto. </w:t>
      </w:r>
    </w:p>
    <w:p w14:paraId="7B70B408" w14:textId="77777777" w:rsidR="00A219FF" w:rsidRDefault="00A219FF" w:rsidP="00A65E44">
      <w:pPr>
        <w:ind w:firstLine="1418"/>
        <w:jc w:val="both"/>
      </w:pPr>
    </w:p>
    <w:p w14:paraId="2DB7899F" w14:textId="55A7167E" w:rsidR="00D127F5" w:rsidRDefault="00A219FF" w:rsidP="00A65E44">
      <w:pPr>
        <w:ind w:firstLine="1418"/>
        <w:jc w:val="both"/>
      </w:pPr>
      <w:r w:rsidRPr="004437DA">
        <w:rPr>
          <w:b/>
        </w:rPr>
        <w:t>Art. 5</w:t>
      </w:r>
      <w:proofErr w:type="gramStart"/>
      <w:r w:rsidR="00D127F5" w:rsidRPr="004437DA">
        <w:rPr>
          <w:b/>
        </w:rPr>
        <w:t xml:space="preserve">º </w:t>
      </w:r>
      <w:r w:rsidR="00E36665">
        <w:rPr>
          <w:b/>
        </w:rPr>
        <w:t xml:space="preserve"> </w:t>
      </w:r>
      <w:r w:rsidR="00D127F5" w:rsidRPr="004437DA">
        <w:t>O</w:t>
      </w:r>
      <w:proofErr w:type="gramEnd"/>
      <w:r w:rsidR="00D127F5" w:rsidRPr="004437DA">
        <w:t xml:space="preserve"> sujeito passivo deverá protocolar nos autos judiciais petição de extinção do processo com resolução do mérito, nos termos da al.</w:t>
      </w:r>
      <w:r w:rsidR="00A65E44">
        <w:t xml:space="preserve"> </w:t>
      </w:r>
      <w:r w:rsidR="00D127F5" w:rsidRPr="004437DA">
        <w:rPr>
          <w:i/>
          <w:iCs/>
        </w:rPr>
        <w:t>c</w:t>
      </w:r>
      <w:r w:rsidR="00A65E44">
        <w:t xml:space="preserve"> </w:t>
      </w:r>
      <w:r w:rsidR="00D127F5" w:rsidRPr="004437DA">
        <w:t>do inc. III do</w:t>
      </w:r>
      <w:r w:rsidR="00A65E44">
        <w:t xml:space="preserve"> </w:t>
      </w:r>
      <w:r w:rsidR="00D127F5" w:rsidRPr="004437DA">
        <w:rPr>
          <w:i/>
          <w:iCs/>
        </w:rPr>
        <w:t>caput</w:t>
      </w:r>
      <w:r w:rsidR="00A65E44">
        <w:rPr>
          <w:i/>
          <w:iCs/>
        </w:rPr>
        <w:t xml:space="preserve"> </w:t>
      </w:r>
      <w:r w:rsidR="00D127F5" w:rsidRPr="004437DA">
        <w:t xml:space="preserve">do art. 487 do Código de Processo Civil, juntando o Termo de Adesão do </w:t>
      </w:r>
      <w:proofErr w:type="spellStart"/>
      <w:r w:rsidR="00D127F5" w:rsidRPr="004437DA">
        <w:t>RecuperaPOA</w:t>
      </w:r>
      <w:proofErr w:type="spellEnd"/>
      <w:r w:rsidR="00D127F5" w:rsidRPr="004437DA">
        <w:t xml:space="preserve"> 2024 e o comprovante de pagamento da guia de recolhimento. </w:t>
      </w:r>
    </w:p>
    <w:p w14:paraId="75277632" w14:textId="77777777" w:rsidR="00A27D39" w:rsidRDefault="00A27D39" w:rsidP="00A65E44">
      <w:pPr>
        <w:ind w:firstLine="1418"/>
        <w:jc w:val="both"/>
      </w:pPr>
    </w:p>
    <w:p w14:paraId="05EE496A" w14:textId="05A43F07" w:rsidR="00A27D39" w:rsidRPr="004437DA" w:rsidRDefault="00A27D39" w:rsidP="00A65E44">
      <w:pPr>
        <w:ind w:firstLine="1418"/>
        <w:jc w:val="both"/>
      </w:pPr>
      <w:r w:rsidRPr="00A27D39">
        <w:rPr>
          <w:b/>
        </w:rPr>
        <w:t>Parágrafo único</w:t>
      </w:r>
      <w:r w:rsidRPr="00A27D39">
        <w:t xml:space="preserve">. </w:t>
      </w:r>
      <w:r w:rsidR="00E36665">
        <w:t xml:space="preserve"> </w:t>
      </w:r>
      <w:r w:rsidRPr="00A27D39">
        <w:t xml:space="preserve">O mesmo procedimento deverá ser adotado nos processos administrativos relativos a mediações tributárias, reclamações e recursos administrativos referidos no art. 2º, </w:t>
      </w:r>
      <w:r w:rsidR="00E36665">
        <w:t xml:space="preserve">inc. </w:t>
      </w:r>
      <w:r w:rsidRPr="00A27D39">
        <w:t>III,</w:t>
      </w:r>
      <w:r w:rsidR="00A65E44">
        <w:t xml:space="preserve"> </w:t>
      </w:r>
      <w:r w:rsidR="00E36665">
        <w:t>al.</w:t>
      </w:r>
      <w:r w:rsidRPr="00A27D39">
        <w:t xml:space="preserve"> </w:t>
      </w:r>
      <w:r w:rsidRPr="00A27D39">
        <w:rPr>
          <w:i/>
        </w:rPr>
        <w:t>b</w:t>
      </w:r>
      <w:r w:rsidRPr="00A27D39">
        <w:t xml:space="preserve"> do presente Decreto</w:t>
      </w:r>
      <w:r>
        <w:t>.</w:t>
      </w:r>
    </w:p>
    <w:p w14:paraId="218314B1" w14:textId="77777777" w:rsidR="00475BD0" w:rsidRDefault="00475BD0" w:rsidP="00A65E44">
      <w:pPr>
        <w:ind w:firstLine="1418"/>
        <w:jc w:val="both"/>
        <w:rPr>
          <w:b/>
        </w:rPr>
      </w:pPr>
    </w:p>
    <w:p w14:paraId="3CBD9215" w14:textId="70DF35CC" w:rsidR="00457100" w:rsidRDefault="00752158" w:rsidP="00A65E44">
      <w:pPr>
        <w:ind w:firstLine="1418"/>
        <w:jc w:val="both"/>
        <w:rPr>
          <w:b/>
        </w:rPr>
      </w:pPr>
      <w:r w:rsidRPr="007F5020">
        <w:rPr>
          <w:b/>
        </w:rPr>
        <w:t xml:space="preserve">Art. </w:t>
      </w:r>
      <w:r w:rsidR="002016A7">
        <w:rPr>
          <w:b/>
        </w:rPr>
        <w:t>6</w:t>
      </w:r>
      <w:proofErr w:type="gramStart"/>
      <w:r w:rsidRPr="007F5020">
        <w:rPr>
          <w:b/>
        </w:rPr>
        <w:t>º</w:t>
      </w:r>
      <w:r w:rsidR="00E36665">
        <w:rPr>
          <w:b/>
        </w:rPr>
        <w:t xml:space="preserve"> </w:t>
      </w:r>
      <w:r>
        <w:t xml:space="preserve"> Este</w:t>
      </w:r>
      <w:proofErr w:type="gramEnd"/>
      <w:r>
        <w:t xml:space="preserve"> Decreto entra em vigor </w:t>
      </w:r>
      <w:r w:rsidR="002D70B9">
        <w:t>em</w:t>
      </w:r>
      <w:r>
        <w:t xml:space="preserve"> </w:t>
      </w:r>
      <w:r w:rsidR="00D57A2A">
        <w:t>7 de junho de 2024</w:t>
      </w:r>
      <w:r>
        <w:t>.</w:t>
      </w:r>
      <w:r w:rsidR="00F64CE5" w:rsidRPr="00F64CE5">
        <w:cr/>
      </w:r>
    </w:p>
    <w:p w14:paraId="397DAFF6" w14:textId="2AB816F8" w:rsidR="00E36665" w:rsidRDefault="00E36665" w:rsidP="00A65E44">
      <w:pPr>
        <w:tabs>
          <w:tab w:val="left" w:pos="1560"/>
        </w:tabs>
        <w:ind w:firstLine="1418"/>
        <w:jc w:val="both"/>
      </w:pPr>
      <w:r>
        <w:t>PREFEITURA MUNICIPAL DE PORTO ALEGRE, 6 de junho de 2024.</w:t>
      </w:r>
    </w:p>
    <w:p w14:paraId="0357C2EE" w14:textId="77777777" w:rsidR="00E36665" w:rsidRDefault="00E36665" w:rsidP="00E36665">
      <w:pPr>
        <w:tabs>
          <w:tab w:val="left" w:pos="1560"/>
        </w:tabs>
        <w:jc w:val="both"/>
      </w:pPr>
    </w:p>
    <w:p w14:paraId="58DDE2CD" w14:textId="77777777" w:rsidR="00E36665" w:rsidRDefault="00E36665" w:rsidP="00E36665">
      <w:pPr>
        <w:tabs>
          <w:tab w:val="left" w:pos="1560"/>
        </w:tabs>
        <w:jc w:val="center"/>
      </w:pPr>
      <w:r>
        <w:t>Sebastião Melo,</w:t>
      </w:r>
    </w:p>
    <w:p w14:paraId="5352B11B" w14:textId="77777777" w:rsidR="00E36665" w:rsidRDefault="00E36665" w:rsidP="00E36665">
      <w:pPr>
        <w:tabs>
          <w:tab w:val="left" w:pos="1560"/>
        </w:tabs>
        <w:jc w:val="center"/>
      </w:pPr>
      <w:r>
        <w:t>Prefeito de Porto Alegre.</w:t>
      </w:r>
    </w:p>
    <w:p w14:paraId="26614276" w14:textId="77777777" w:rsidR="00E36665" w:rsidRDefault="00E36665" w:rsidP="00E36665">
      <w:pPr>
        <w:tabs>
          <w:tab w:val="left" w:pos="1560"/>
        </w:tabs>
        <w:jc w:val="both"/>
      </w:pPr>
    </w:p>
    <w:p w14:paraId="7C3F60AF" w14:textId="77777777" w:rsidR="00E36665" w:rsidRDefault="00E36665" w:rsidP="00E36665">
      <w:pPr>
        <w:jc w:val="both"/>
      </w:pPr>
      <w:r>
        <w:t>Registre-se e publique-se.</w:t>
      </w:r>
    </w:p>
    <w:p w14:paraId="3F60F514" w14:textId="77777777" w:rsidR="00E36665" w:rsidRDefault="00E36665" w:rsidP="00E36665">
      <w:pPr>
        <w:jc w:val="both"/>
      </w:pPr>
    </w:p>
    <w:p w14:paraId="05A6E5F2" w14:textId="77777777" w:rsidR="00E36665" w:rsidRDefault="00E36665" w:rsidP="00E36665">
      <w:r>
        <w:t>Roberto Silva da Rocha,</w:t>
      </w:r>
    </w:p>
    <w:p w14:paraId="5ACD5BAE" w14:textId="38B1EAEA" w:rsidR="00507B75" w:rsidRPr="00C038A9" w:rsidRDefault="00E36665" w:rsidP="00A65E44">
      <w:pPr>
        <w:tabs>
          <w:tab w:val="left" w:pos="3660"/>
        </w:tabs>
        <w:jc w:val="both"/>
      </w:pPr>
      <w:r>
        <w:t>Procurador-Geral do Município</w:t>
      </w:r>
    </w:p>
    <w:sectPr w:rsidR="00507B75" w:rsidRPr="00C038A9" w:rsidSect="00507B75">
      <w:footerReference w:type="default" r:id="rId7"/>
      <w:pgSz w:w="11906" w:h="16838" w:code="9"/>
      <w:pgMar w:top="2665" w:right="851" w:bottom="1701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CA2FA" w14:textId="77777777" w:rsidR="00966D78" w:rsidRDefault="00966D78" w:rsidP="00507B75">
      <w:r>
        <w:separator/>
      </w:r>
    </w:p>
  </w:endnote>
  <w:endnote w:type="continuationSeparator" w:id="0">
    <w:p w14:paraId="4B20C22B" w14:textId="77777777" w:rsidR="00966D78" w:rsidRDefault="00966D78" w:rsidP="0050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BE62" w14:textId="0CE8DD3C" w:rsidR="00507B75" w:rsidRDefault="00507B75">
    <w:pPr>
      <w:pStyle w:val="Rodap"/>
      <w:jc w:val="right"/>
    </w:pPr>
  </w:p>
  <w:p w14:paraId="0094AE51" w14:textId="77777777" w:rsidR="00507B75" w:rsidRDefault="00507B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3E485" w14:textId="77777777" w:rsidR="00966D78" w:rsidRDefault="00966D78" w:rsidP="00507B75">
      <w:r>
        <w:separator/>
      </w:r>
    </w:p>
  </w:footnote>
  <w:footnote w:type="continuationSeparator" w:id="0">
    <w:p w14:paraId="7D8588CE" w14:textId="77777777" w:rsidR="00966D78" w:rsidRDefault="00966D78" w:rsidP="00507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E4B"/>
    <w:rsid w:val="00016AF7"/>
    <w:rsid w:val="000719F4"/>
    <w:rsid w:val="00073517"/>
    <w:rsid w:val="000973D3"/>
    <w:rsid w:val="000B6B45"/>
    <w:rsid w:val="00106441"/>
    <w:rsid w:val="00122582"/>
    <w:rsid w:val="00125F8D"/>
    <w:rsid w:val="00142726"/>
    <w:rsid w:val="001555D8"/>
    <w:rsid w:val="00166047"/>
    <w:rsid w:val="00167377"/>
    <w:rsid w:val="001857D0"/>
    <w:rsid w:val="001A11D4"/>
    <w:rsid w:val="001A6145"/>
    <w:rsid w:val="001B13D2"/>
    <w:rsid w:val="001B389F"/>
    <w:rsid w:val="001C353A"/>
    <w:rsid w:val="001C4A51"/>
    <w:rsid w:val="001D68B9"/>
    <w:rsid w:val="001E416C"/>
    <w:rsid w:val="002016A7"/>
    <w:rsid w:val="00204975"/>
    <w:rsid w:val="002350EE"/>
    <w:rsid w:val="00236EA0"/>
    <w:rsid w:val="00263CF2"/>
    <w:rsid w:val="00266612"/>
    <w:rsid w:val="00281B5D"/>
    <w:rsid w:val="002A43E5"/>
    <w:rsid w:val="002D70B9"/>
    <w:rsid w:val="002E2040"/>
    <w:rsid w:val="002E665A"/>
    <w:rsid w:val="002E6EB1"/>
    <w:rsid w:val="002F1F1A"/>
    <w:rsid w:val="00331277"/>
    <w:rsid w:val="003402B3"/>
    <w:rsid w:val="00393E0B"/>
    <w:rsid w:val="003B5DE3"/>
    <w:rsid w:val="003E23DE"/>
    <w:rsid w:val="003F75A1"/>
    <w:rsid w:val="00407BF4"/>
    <w:rsid w:val="00415EF7"/>
    <w:rsid w:val="004437DA"/>
    <w:rsid w:val="00457100"/>
    <w:rsid w:val="00465411"/>
    <w:rsid w:val="00475BD0"/>
    <w:rsid w:val="00477DEC"/>
    <w:rsid w:val="004834F5"/>
    <w:rsid w:val="00503350"/>
    <w:rsid w:val="005047E7"/>
    <w:rsid w:val="0050723F"/>
    <w:rsid w:val="00507B75"/>
    <w:rsid w:val="005528FA"/>
    <w:rsid w:val="005638FD"/>
    <w:rsid w:val="00564B2A"/>
    <w:rsid w:val="00575955"/>
    <w:rsid w:val="00575B36"/>
    <w:rsid w:val="00592EA3"/>
    <w:rsid w:val="005C14E4"/>
    <w:rsid w:val="005D2F2A"/>
    <w:rsid w:val="00613649"/>
    <w:rsid w:val="0061740A"/>
    <w:rsid w:val="0065362E"/>
    <w:rsid w:val="00663904"/>
    <w:rsid w:val="0066706B"/>
    <w:rsid w:val="00682984"/>
    <w:rsid w:val="0068730C"/>
    <w:rsid w:val="0069190F"/>
    <w:rsid w:val="006C4BDC"/>
    <w:rsid w:val="006E7D0D"/>
    <w:rsid w:val="006F317A"/>
    <w:rsid w:val="007179AD"/>
    <w:rsid w:val="00717D55"/>
    <w:rsid w:val="007431C2"/>
    <w:rsid w:val="00752158"/>
    <w:rsid w:val="00781BAE"/>
    <w:rsid w:val="007A7FB6"/>
    <w:rsid w:val="007C1866"/>
    <w:rsid w:val="007E6DFC"/>
    <w:rsid w:val="007F5020"/>
    <w:rsid w:val="007F6A16"/>
    <w:rsid w:val="00810919"/>
    <w:rsid w:val="0081381B"/>
    <w:rsid w:val="00824114"/>
    <w:rsid w:val="008454FC"/>
    <w:rsid w:val="008741C4"/>
    <w:rsid w:val="008C4CCE"/>
    <w:rsid w:val="008C5B98"/>
    <w:rsid w:val="008E0C3C"/>
    <w:rsid w:val="008F0967"/>
    <w:rsid w:val="00910F6D"/>
    <w:rsid w:val="009159A0"/>
    <w:rsid w:val="009304EE"/>
    <w:rsid w:val="0096088E"/>
    <w:rsid w:val="00966D78"/>
    <w:rsid w:val="00970954"/>
    <w:rsid w:val="00992CE2"/>
    <w:rsid w:val="0099756B"/>
    <w:rsid w:val="009A1FFC"/>
    <w:rsid w:val="009A5037"/>
    <w:rsid w:val="009B7870"/>
    <w:rsid w:val="009F40AF"/>
    <w:rsid w:val="00A219FF"/>
    <w:rsid w:val="00A23930"/>
    <w:rsid w:val="00A27D39"/>
    <w:rsid w:val="00A3323A"/>
    <w:rsid w:val="00A405A6"/>
    <w:rsid w:val="00A65E44"/>
    <w:rsid w:val="00A66C99"/>
    <w:rsid w:val="00AC6C83"/>
    <w:rsid w:val="00AD1FEE"/>
    <w:rsid w:val="00AF2D38"/>
    <w:rsid w:val="00B1329B"/>
    <w:rsid w:val="00B14AAE"/>
    <w:rsid w:val="00B15BF8"/>
    <w:rsid w:val="00B263E6"/>
    <w:rsid w:val="00B50FCD"/>
    <w:rsid w:val="00B74887"/>
    <w:rsid w:val="00B95616"/>
    <w:rsid w:val="00B97D64"/>
    <w:rsid w:val="00BB1ECF"/>
    <w:rsid w:val="00C45FEA"/>
    <w:rsid w:val="00C568EC"/>
    <w:rsid w:val="00CA083B"/>
    <w:rsid w:val="00CD69AD"/>
    <w:rsid w:val="00CF4E85"/>
    <w:rsid w:val="00D127F5"/>
    <w:rsid w:val="00D24067"/>
    <w:rsid w:val="00D3113F"/>
    <w:rsid w:val="00D44F92"/>
    <w:rsid w:val="00D57A2A"/>
    <w:rsid w:val="00D82355"/>
    <w:rsid w:val="00DA3F33"/>
    <w:rsid w:val="00DA55A1"/>
    <w:rsid w:val="00DB4908"/>
    <w:rsid w:val="00DE101B"/>
    <w:rsid w:val="00DF02E0"/>
    <w:rsid w:val="00DF3681"/>
    <w:rsid w:val="00DF6852"/>
    <w:rsid w:val="00E01824"/>
    <w:rsid w:val="00E12193"/>
    <w:rsid w:val="00E31545"/>
    <w:rsid w:val="00E36665"/>
    <w:rsid w:val="00E421B1"/>
    <w:rsid w:val="00E50412"/>
    <w:rsid w:val="00E547F0"/>
    <w:rsid w:val="00E65B20"/>
    <w:rsid w:val="00E86155"/>
    <w:rsid w:val="00E87C07"/>
    <w:rsid w:val="00EA22B1"/>
    <w:rsid w:val="00EC01A1"/>
    <w:rsid w:val="00ED6E25"/>
    <w:rsid w:val="00EE1460"/>
    <w:rsid w:val="00F319DF"/>
    <w:rsid w:val="00F62E4B"/>
    <w:rsid w:val="00F64CE5"/>
    <w:rsid w:val="00F73932"/>
    <w:rsid w:val="00F758EA"/>
    <w:rsid w:val="00FA69CA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4931"/>
  <w15:docId w15:val="{B7C916A2-3133-483E-842E-74E30FC2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i">
    <w:name w:val="Lei"/>
    <w:basedOn w:val="Normal"/>
    <w:autoRedefine/>
    <w:qFormat/>
    <w:rsid w:val="00BB1ECF"/>
    <w:pPr>
      <w:contextualSpacing/>
      <w:jc w:val="center"/>
    </w:pPr>
    <w:rPr>
      <w:rFonts w:eastAsia="Arial" w:cs="Arial"/>
      <w:b/>
      <w:caps/>
      <w:color w:val="000000"/>
      <w:lang w:eastAsia="en-US"/>
    </w:rPr>
  </w:style>
  <w:style w:type="paragraph" w:customStyle="1" w:styleId="Ementa">
    <w:name w:val="Ementa"/>
    <w:basedOn w:val="Normal"/>
    <w:next w:val="Normal"/>
    <w:autoRedefine/>
    <w:qFormat/>
    <w:rsid w:val="00BB1ECF"/>
    <w:pPr>
      <w:ind w:left="4253"/>
      <w:jc w:val="both"/>
    </w:pPr>
    <w:rPr>
      <w:rFonts w:ascii="Arial" w:hAnsi="Arial" w:cs="Arial"/>
      <w:b/>
      <w:sz w:val="20"/>
      <w:szCs w:val="20"/>
    </w:rPr>
  </w:style>
  <w:style w:type="character" w:customStyle="1" w:styleId="DTextoChar">
    <w:name w:val="D_Texto Char"/>
    <w:link w:val="DTexto"/>
    <w:locked/>
    <w:rsid w:val="00F62E4B"/>
    <w:rPr>
      <w:rFonts w:ascii="Arial" w:eastAsia="Times New Roman" w:hAnsi="Arial" w:cs="Arial"/>
    </w:rPr>
  </w:style>
  <w:style w:type="paragraph" w:customStyle="1" w:styleId="DTexto">
    <w:name w:val="D_Texto"/>
    <w:basedOn w:val="Normal"/>
    <w:link w:val="DTextoChar"/>
    <w:qFormat/>
    <w:rsid w:val="00F62E4B"/>
    <w:pPr>
      <w:suppressAutoHyphens/>
      <w:spacing w:after="120"/>
      <w:ind w:firstLine="851"/>
      <w:jc w:val="both"/>
    </w:pPr>
    <w:rPr>
      <w:rFonts w:ascii="Arial" w:hAnsi="Arial" w:cs="Arial"/>
      <w:sz w:val="22"/>
      <w:szCs w:val="22"/>
      <w:lang w:eastAsia="en-US"/>
    </w:rPr>
  </w:style>
  <w:style w:type="character" w:styleId="nfase">
    <w:name w:val="Emphasis"/>
    <w:basedOn w:val="Fontepargpadro"/>
    <w:qFormat/>
    <w:rsid w:val="00F62E4B"/>
    <w:rPr>
      <w:i/>
      <w:iCs/>
    </w:rPr>
  </w:style>
  <w:style w:type="character" w:styleId="Forte">
    <w:name w:val="Strong"/>
    <w:basedOn w:val="Fontepargpadro"/>
    <w:qFormat/>
    <w:rsid w:val="00F62E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E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E4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7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B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0C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0C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E0C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638F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638FD"/>
    <w:rPr>
      <w:color w:val="0000FF"/>
      <w:u w:val="single"/>
    </w:rPr>
  </w:style>
  <w:style w:type="paragraph" w:styleId="Reviso">
    <w:name w:val="Revision"/>
    <w:hidden/>
    <w:uiPriority w:val="99"/>
    <w:semiHidden/>
    <w:rsid w:val="00E36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366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66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66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66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66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66B1-8FAF-4D98-BB5C-A5056DFB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Dalmoro Pessetto</dc:creator>
  <cp:lastModifiedBy>FABRICIO NUNES</cp:lastModifiedBy>
  <cp:revision>9</cp:revision>
  <dcterms:created xsi:type="dcterms:W3CDTF">2024-06-03T19:16:00Z</dcterms:created>
  <dcterms:modified xsi:type="dcterms:W3CDTF">2024-06-06T14:40:00Z</dcterms:modified>
</cp:coreProperties>
</file>