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spacing w:before="168"/>
        <w:rPr>
          <w:b w:val="0"/>
        </w:rPr>
      </w:pPr>
    </w:p>
    <w:p>
      <w:pPr>
        <w:pStyle w:val="BodyText"/>
        <w:ind w:right="6"/>
        <w:jc w:val="center"/>
      </w:pPr>
      <w:r>
        <w:rPr/>
        <w:t>LEI</w:t>
      </w:r>
      <w:r>
        <w:rPr>
          <w:spacing w:val="-1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Nº 1.017,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8 DE</w:t>
      </w:r>
      <w:r>
        <w:rPr>
          <w:spacing w:val="-1"/>
        </w:rPr>
        <w:t> </w:t>
      </w:r>
      <w:r>
        <w:rPr/>
        <w:t>JULHO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352" w:right="105"/>
        <w:jc w:val="both"/>
      </w:pPr>
      <w:r>
        <w:rPr/>
        <w:t>Suspende a obrigatoriedade do cumprimento de obrigações tributárias acessórias por 60</w:t>
      </w:r>
      <w:r>
        <w:rPr>
          <w:spacing w:val="80"/>
        </w:rPr>
        <w:t> </w:t>
      </w:r>
      <w:r>
        <w:rPr/>
        <w:t>(sessenta) dias, com as exceções previstas;</w:t>
      </w:r>
      <w:r>
        <w:rPr>
          <w:spacing w:val="40"/>
        </w:rPr>
        <w:t> </w:t>
      </w:r>
      <w:r>
        <w:rPr/>
        <w:t>concede remissão às parcelas com vencimento original nos meses de maio a dezembro do ano de 2024, referente</w:t>
      </w:r>
      <w:r>
        <w:rPr>
          <w:spacing w:val="-1"/>
        </w:rPr>
        <w:t> </w:t>
      </w:r>
      <w:r>
        <w:rPr/>
        <w:t>ao parcelamento</w:t>
      </w:r>
      <w:r>
        <w:rPr>
          <w:spacing w:val="-1"/>
        </w:rPr>
        <w:t> </w:t>
      </w:r>
      <w:r>
        <w:rPr/>
        <w:t>sem</w:t>
      </w:r>
      <w:r>
        <w:rPr>
          <w:spacing w:val="-2"/>
        </w:rPr>
        <w:t> </w:t>
      </w:r>
      <w:r>
        <w:rPr/>
        <w:t>ônus, para o IPTU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TCL,</w:t>
      </w:r>
      <w:r>
        <w:rPr>
          <w:spacing w:val="-4"/>
        </w:rPr>
        <w:t> </w:t>
      </w:r>
      <w:r>
        <w:rPr/>
        <w:t>referentes</w:t>
      </w:r>
      <w:r>
        <w:rPr>
          <w:spacing w:val="-4"/>
        </w:rPr>
        <w:t> </w:t>
      </w:r>
      <w:r>
        <w:rPr/>
        <w:t>aos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edificados</w:t>
      </w:r>
      <w:r>
        <w:rPr>
          <w:spacing w:val="-4"/>
        </w:rPr>
        <w:t> </w:t>
      </w:r>
      <w:r>
        <w:rPr/>
        <w:t>e estabelecimentos localizados na mancha georreferenciada pela Prefeitura Municipal, exceto quanto aos valores recolhidos espontaneamente; concede isenção, a partir de janeiro de 2025 até maio de 2026, para o IPTU e</w:t>
      </w:r>
      <w:r>
        <w:rPr>
          <w:spacing w:val="80"/>
        </w:rPr>
        <w:t> </w:t>
      </w:r>
      <w:r>
        <w:rPr/>
        <w:t>a TCL incidente sobre imóveis edificados atingidos por enchentes ou alagamentos, devidamente comprovados, nos termos do regulamento; assegura, no exercício fiscal de 2025, a isenção do IPTU para imóveis que servirem de abrigo ou acolherem, por período superior a 6 (seis) meses, famílias vítimas da enchente; concede compensação de IPTU e TCL, no exercício financeiro de 2025, aos contribuintes que realizaram o pagamento à vista do Imposto e da Taxa no exercício financeiro de 2024; concede isenção do ISSQN, sem ônus, para as competências de agosto a dezembro de 2024, nos casos relativos à prestação de serviços sob a</w:t>
      </w:r>
      <w:r>
        <w:rPr>
          <w:spacing w:val="40"/>
        </w:rPr>
        <w:t> </w:t>
      </w:r>
      <w:r>
        <w:rPr/>
        <w:t>forma de trabalho pessoal do próprio</w:t>
      </w:r>
      <w:r>
        <w:rPr>
          <w:spacing w:val="40"/>
        </w:rPr>
        <w:t> </w:t>
      </w:r>
      <w:r>
        <w:rPr/>
        <w:t>contribuinte (profissionais autônomos), estabelecidos nos locais referidos no art. 2º desta Lei Complementar; concede isenção das tarifas</w:t>
      </w:r>
      <w:r>
        <w:rPr>
          <w:spacing w:val="40"/>
        </w:rPr>
        <w:t> </w:t>
      </w:r>
      <w:r>
        <w:rPr/>
        <w:t>de água e esgoto para as famílias que acolheram pessoas desabrigadas, mediante comprovação; concede isenção da cobrança da taxa de estacionamento da Zona Azul, bem como das multas para os veículos estacionados; inclui na suspensão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obrigatoriedade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cumprimento</w:t>
      </w:r>
      <w:r>
        <w:rPr>
          <w:spacing w:val="-5"/>
        </w:rPr>
        <w:t> </w:t>
      </w:r>
      <w:r>
        <w:rPr/>
        <w:t>de obrigações tributárias acessórias o serviço</w:t>
      </w:r>
      <w:r>
        <w:rPr>
          <w:spacing w:val="40"/>
        </w:rPr>
        <w:t> </w:t>
      </w:r>
      <w:r>
        <w:rPr/>
        <w:t>público de transporte individual por táxi, nas condições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especifica;</w:t>
      </w:r>
      <w:r>
        <w:rPr>
          <w:spacing w:val="-6"/>
        </w:rPr>
        <w:t> </w:t>
      </w:r>
      <w:r>
        <w:rPr/>
        <w:t>inclui</w:t>
      </w:r>
      <w:r>
        <w:rPr>
          <w:spacing w:val="-4"/>
        </w:rPr>
        <w:t> </w:t>
      </w:r>
      <w:r>
        <w:rPr/>
        <w:t>inc.</w:t>
      </w:r>
      <w:r>
        <w:rPr>
          <w:spacing w:val="-2"/>
        </w:rPr>
        <w:t> </w:t>
      </w:r>
      <w:r>
        <w:rPr/>
        <w:t>XXXV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art. 70</w:t>
      </w:r>
      <w:r>
        <w:rPr>
          <w:spacing w:val="20"/>
        </w:rPr>
        <w:t> </w:t>
      </w:r>
      <w:r>
        <w:rPr/>
        <w:t>da</w:t>
      </w:r>
      <w:r>
        <w:rPr>
          <w:spacing w:val="17"/>
        </w:rPr>
        <w:t> </w:t>
      </w:r>
      <w:r>
        <w:rPr/>
        <w:t>Lei</w:t>
      </w:r>
      <w:r>
        <w:rPr>
          <w:spacing w:val="20"/>
        </w:rPr>
        <w:t> </w:t>
      </w:r>
      <w:r>
        <w:rPr/>
        <w:t>Complementar</w:t>
      </w:r>
      <w:r>
        <w:rPr>
          <w:spacing w:val="19"/>
        </w:rPr>
        <w:t> </w:t>
      </w:r>
      <w:r>
        <w:rPr/>
        <w:t>nº</w:t>
      </w:r>
      <w:r>
        <w:rPr>
          <w:spacing w:val="20"/>
        </w:rPr>
        <w:t> </w:t>
      </w:r>
      <w:r>
        <w:rPr/>
        <w:t>7,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7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dezembro</w:t>
      </w:r>
    </w:p>
    <w:p>
      <w:pPr>
        <w:spacing w:after="0"/>
        <w:jc w:val="both"/>
        <w:sectPr>
          <w:type w:val="continuous"/>
          <w:pgSz w:w="11910" w:h="16850"/>
          <w:pgMar w:top="1940" w:bottom="280" w:left="1600" w:right="740"/>
        </w:sectPr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4352"/>
      </w:pPr>
      <w:r>
        <w:rPr/>
        <w:t>de</w:t>
      </w:r>
      <w:r>
        <w:rPr>
          <w:spacing w:val="80"/>
          <w:w w:val="150"/>
        </w:rPr>
        <w:t> </w:t>
      </w:r>
      <w:r>
        <w:rPr/>
        <w:t>1973;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inclui</w:t>
      </w:r>
      <w:r>
        <w:rPr>
          <w:spacing w:val="80"/>
          <w:w w:val="150"/>
        </w:rPr>
        <w:t> </w:t>
      </w:r>
      <w:r>
        <w:rPr/>
        <w:t>§</w:t>
      </w:r>
      <w:r>
        <w:rPr>
          <w:spacing w:val="80"/>
          <w:w w:val="150"/>
        </w:rPr>
        <w:t> </w:t>
      </w:r>
      <w:r>
        <w:rPr/>
        <w:t>13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art.</w:t>
      </w:r>
      <w:r>
        <w:rPr>
          <w:spacing w:val="80"/>
          <w:w w:val="150"/>
        </w:rPr>
        <w:t> </w:t>
      </w:r>
      <w:r>
        <w:rPr/>
        <w:t>8º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Lei Complementar nº 197, de 21 de março de 1989.</w:t>
      </w:r>
    </w:p>
    <w:p>
      <w:pPr>
        <w:pStyle w:val="BodyText"/>
        <w:spacing w:before="271"/>
      </w:pPr>
    </w:p>
    <w:p>
      <w:pPr>
        <w:spacing w:before="0"/>
        <w:ind w:left="1520" w:right="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PREFEITO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PORTO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ALEGRE</w:t>
      </w:r>
    </w:p>
    <w:p>
      <w:pPr>
        <w:spacing w:before="0"/>
        <w:ind w:left="102" w:right="105" w:firstLine="1418"/>
        <w:jc w:val="both"/>
        <w:rPr>
          <w:sz w:val="24"/>
        </w:rPr>
      </w:pPr>
      <w:r>
        <w:rPr>
          <w:sz w:val="24"/>
        </w:rPr>
        <w:t>Faço saber que a Câmara Municipal aprovou e eu, no uso das atribuições que me confere o inciso II do artigo 94 da Lei Orgânica do Município, sanciono a seguinte Lei: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111" w:firstLine="1415"/>
        <w:jc w:val="both"/>
        <w:rPr>
          <w:sz w:val="24"/>
        </w:rPr>
      </w:pPr>
      <w:r>
        <w:rPr>
          <w:b/>
          <w:sz w:val="24"/>
        </w:rPr>
        <w:t>Art. 1º</w:t>
      </w:r>
      <w:r>
        <w:rPr>
          <w:b/>
          <w:spacing w:val="80"/>
          <w:sz w:val="24"/>
        </w:rPr>
        <w:t> </w:t>
      </w:r>
      <w:r>
        <w:rPr>
          <w:sz w:val="24"/>
        </w:rPr>
        <w:t>Fica suspensa por 60 (sessenta) dias a obrigatoriedade do cumprimento das obrigações tributárias acessórias pelo sujeito passivo.</w:t>
      </w:r>
    </w:p>
    <w:p>
      <w:pPr>
        <w:pStyle w:val="BodyText"/>
        <w:rPr>
          <w:b w:val="0"/>
        </w:rPr>
      </w:pPr>
    </w:p>
    <w:p>
      <w:pPr>
        <w:spacing w:before="0"/>
        <w:ind w:left="1518" w:right="0" w:firstLine="0"/>
        <w:jc w:val="both"/>
        <w:rPr>
          <w:sz w:val="24"/>
        </w:rPr>
      </w:pPr>
      <w:r>
        <w:rPr>
          <w:b/>
          <w:sz w:val="24"/>
        </w:rPr>
        <w:t>§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1º</w:t>
      </w:r>
      <w:r>
        <w:rPr>
          <w:b/>
          <w:spacing w:val="58"/>
          <w:sz w:val="24"/>
        </w:rPr>
        <w:t> </w:t>
      </w:r>
      <w:r>
        <w:rPr>
          <w:sz w:val="24"/>
        </w:rPr>
        <w:t>Excetuam-se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suspensão prevista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i/>
          <w:sz w:val="24"/>
        </w:rPr>
        <w:t>caput</w:t>
      </w:r>
      <w:r>
        <w:rPr>
          <w:i/>
          <w:spacing w:val="-1"/>
          <w:sz w:val="24"/>
        </w:rPr>
        <w:t> </w:t>
      </w:r>
      <w:r>
        <w:rPr>
          <w:sz w:val="24"/>
        </w:rPr>
        <w:t>deste </w:t>
      </w:r>
      <w:r>
        <w:rPr>
          <w:spacing w:val="-2"/>
          <w:sz w:val="24"/>
        </w:rPr>
        <w:t>artigo: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674" w:val="left" w:leader="none"/>
        </w:tabs>
        <w:spacing w:line="240" w:lineRule="auto" w:before="0" w:after="0"/>
        <w:ind w:left="102" w:right="108" w:firstLine="1415"/>
        <w:jc w:val="both"/>
        <w:rPr>
          <w:sz w:val="24"/>
        </w:rPr>
      </w:pPr>
      <w:r>
        <w:rPr>
          <w:sz w:val="24"/>
        </w:rPr>
        <w:t>– emissão da Nota Fiscal de Serviços Eletrônica (NFS-e), prevista no inc. I do art. 32 da Lei Complementar nº 7, de 7 dezembro 1973;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744" w:val="left" w:leader="none"/>
        </w:tabs>
        <w:spacing w:line="240" w:lineRule="auto" w:before="0" w:after="0"/>
        <w:ind w:left="102" w:right="115" w:firstLine="1415"/>
        <w:jc w:val="both"/>
        <w:rPr>
          <w:sz w:val="24"/>
        </w:rPr>
      </w:pPr>
      <w:r>
        <w:rPr>
          <w:sz w:val="24"/>
        </w:rPr>
        <w:t>– escrituração e apresentação da Declaração Mensal do Imposto sobre Serviços de Qualquer Natureza (DECWEB), previstas nos incs. II</w:t>
      </w:r>
      <w:r>
        <w:rPr>
          <w:spacing w:val="-3"/>
          <w:sz w:val="24"/>
        </w:rPr>
        <w:t> </w:t>
      </w:r>
      <w:r>
        <w:rPr>
          <w:sz w:val="24"/>
        </w:rPr>
        <w:t>e IV do art. 32 da Lei Complementar nº 7, de 1973; e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816" w:val="left" w:leader="none"/>
        </w:tabs>
        <w:spacing w:line="240" w:lineRule="auto" w:before="0" w:after="0"/>
        <w:ind w:left="1816" w:right="0" w:hanging="298"/>
        <w:jc w:val="left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apresentação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demonstrativo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receita</w:t>
      </w:r>
      <w:r>
        <w:rPr>
          <w:spacing w:val="1"/>
          <w:sz w:val="24"/>
        </w:rPr>
        <w:t> </w:t>
      </w:r>
      <w:r>
        <w:rPr>
          <w:sz w:val="24"/>
        </w:rPr>
        <w:t>operacional,</w:t>
      </w:r>
      <w:r>
        <w:rPr>
          <w:spacing w:val="2"/>
          <w:sz w:val="24"/>
        </w:rPr>
        <w:t> </w:t>
      </w:r>
      <w:r>
        <w:rPr>
          <w:sz w:val="24"/>
        </w:rPr>
        <w:t>prevista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§</w:t>
      </w:r>
      <w:r>
        <w:rPr>
          <w:spacing w:val="2"/>
          <w:sz w:val="24"/>
        </w:rPr>
        <w:t> </w:t>
      </w:r>
      <w:r>
        <w:rPr>
          <w:sz w:val="24"/>
        </w:rPr>
        <w:t>4º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art.</w:t>
      </w:r>
    </w:p>
    <w:p>
      <w:pPr>
        <w:spacing w:before="1"/>
        <w:ind w:left="102" w:right="0" w:firstLine="0"/>
        <w:jc w:val="left"/>
        <w:rPr>
          <w:sz w:val="24"/>
        </w:rPr>
      </w:pPr>
      <w:r>
        <w:rPr>
          <w:sz w:val="24"/>
        </w:rPr>
        <w:t>6º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197, de</w:t>
      </w:r>
      <w:r>
        <w:rPr>
          <w:spacing w:val="-2"/>
          <w:sz w:val="24"/>
        </w:rPr>
        <w:t> </w:t>
      </w:r>
      <w:r>
        <w:rPr>
          <w:sz w:val="24"/>
        </w:rPr>
        <w:t>21 de</w:t>
      </w:r>
      <w:r>
        <w:rPr>
          <w:spacing w:val="-2"/>
          <w:sz w:val="24"/>
        </w:rPr>
        <w:t> </w:t>
      </w:r>
      <w:r>
        <w:rPr>
          <w:sz w:val="24"/>
        </w:rPr>
        <w:t>março 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1989.</w:t>
      </w:r>
    </w:p>
    <w:p>
      <w:pPr>
        <w:pStyle w:val="BodyText"/>
        <w:rPr>
          <w:b w:val="0"/>
        </w:rPr>
      </w:pPr>
    </w:p>
    <w:p>
      <w:pPr>
        <w:spacing w:before="0"/>
        <w:ind w:left="102" w:right="115" w:firstLine="1415"/>
        <w:jc w:val="both"/>
        <w:rPr>
          <w:sz w:val="24"/>
        </w:rPr>
      </w:pPr>
      <w:r>
        <w:rPr>
          <w:b/>
          <w:sz w:val="24"/>
        </w:rPr>
        <w:t>§ 2º</w:t>
      </w:r>
      <w:r>
        <w:rPr>
          <w:b/>
          <w:spacing w:val="40"/>
          <w:sz w:val="24"/>
        </w:rPr>
        <w:t> </w:t>
      </w:r>
      <w:r>
        <w:rPr>
          <w:sz w:val="24"/>
        </w:rPr>
        <w:t>As instituições financeiras de que trata a Lei Complementar nº 956, de 28 de setembro de 2022, não estão contempladas pela suspensão disposta no </w:t>
      </w:r>
      <w:r>
        <w:rPr>
          <w:i/>
          <w:sz w:val="24"/>
        </w:rPr>
        <w:t>caput </w:t>
      </w:r>
      <w:r>
        <w:rPr>
          <w:sz w:val="24"/>
        </w:rPr>
        <w:t>deste artigo.</w:t>
      </w:r>
    </w:p>
    <w:p>
      <w:pPr>
        <w:pStyle w:val="BodyText"/>
        <w:rPr>
          <w:b w:val="0"/>
        </w:rPr>
      </w:pPr>
    </w:p>
    <w:p>
      <w:pPr>
        <w:spacing w:line="480" w:lineRule="auto" w:before="0"/>
        <w:ind w:left="1518" w:right="6161" w:firstLine="0"/>
        <w:jc w:val="both"/>
        <w:rPr>
          <w:sz w:val="24"/>
        </w:rPr>
      </w:pPr>
      <w:r>
        <w:rPr>
          <w:b/>
          <w:sz w:val="24"/>
        </w:rPr>
        <w:t>Art. 2º </w:t>
      </w:r>
      <w:r>
        <w:rPr>
          <w:sz w:val="24"/>
        </w:rPr>
        <w:t>VETADO </w:t>
      </w:r>
      <w:r>
        <w:rPr>
          <w:b/>
          <w:sz w:val="24"/>
        </w:rPr>
        <w:t>Art. 3º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4º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5º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6º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7º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8º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 9º</w:t>
      </w:r>
      <w:r>
        <w:rPr>
          <w:b/>
          <w:spacing w:val="40"/>
          <w:sz w:val="24"/>
        </w:rPr>
        <w:t> </w:t>
      </w:r>
      <w:r>
        <w:rPr>
          <w:sz w:val="24"/>
        </w:rPr>
        <w:t>VETADO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10.</w:t>
      </w:r>
      <w:r>
        <w:rPr>
          <w:b/>
          <w:spacing w:val="59"/>
          <w:sz w:val="24"/>
        </w:rPr>
        <w:t> </w:t>
      </w:r>
      <w:r>
        <w:rPr>
          <w:spacing w:val="-2"/>
          <w:sz w:val="24"/>
        </w:rPr>
        <w:t>VETADO</w:t>
      </w:r>
    </w:p>
    <w:p>
      <w:pPr>
        <w:spacing w:before="1"/>
        <w:ind w:left="1518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11.</w:t>
      </w:r>
      <w:r>
        <w:rPr>
          <w:b/>
          <w:spacing w:val="58"/>
          <w:sz w:val="24"/>
        </w:rPr>
        <w:t> </w:t>
      </w:r>
      <w:r>
        <w:rPr>
          <w:spacing w:val="-2"/>
          <w:sz w:val="24"/>
        </w:rPr>
        <w:t>VETADO</w:t>
      </w:r>
    </w:p>
    <w:p>
      <w:pPr>
        <w:spacing w:after="0"/>
        <w:jc w:val="both"/>
        <w:rPr>
          <w:sz w:val="24"/>
        </w:rPr>
        <w:sectPr>
          <w:pgSz w:w="11910" w:h="16850"/>
          <w:pgMar w:top="1940" w:bottom="280" w:left="1600" w:right="74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3"/>
        <w:rPr>
          <w:b w:val="0"/>
        </w:rPr>
      </w:pPr>
    </w:p>
    <w:p>
      <w:pPr>
        <w:spacing w:line="480" w:lineRule="auto" w:before="0"/>
        <w:ind w:left="1520" w:right="0" w:firstLine="2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12.</w:t>
      </w:r>
      <w:r>
        <w:rPr>
          <w:b/>
          <w:spacing w:val="40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Complementar</w:t>
      </w:r>
      <w:r>
        <w:rPr>
          <w:spacing w:val="-3"/>
          <w:sz w:val="24"/>
        </w:rPr>
        <w:t> </w:t>
      </w:r>
      <w:r>
        <w:rPr>
          <w:sz w:val="24"/>
        </w:rPr>
        <w:t>entra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vigor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publicação. PREFEITURA MUNICIPAL DE PORTO ALEGRE, 8 de julho de 2024.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3580" w:right="3276" w:firstLine="427"/>
        <w:jc w:val="left"/>
        <w:rPr>
          <w:sz w:val="24"/>
        </w:rPr>
      </w:pPr>
      <w:r>
        <w:rPr>
          <w:sz w:val="24"/>
        </w:rPr>
        <w:t>Sebastião Melo, Prefeito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Porto</w:t>
      </w:r>
      <w:r>
        <w:rPr>
          <w:spacing w:val="-13"/>
          <w:sz w:val="24"/>
        </w:rPr>
        <w:t> </w:t>
      </w:r>
      <w:r>
        <w:rPr>
          <w:sz w:val="24"/>
        </w:rPr>
        <w:t>Alegre.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Registre-se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102" w:right="6362" w:firstLine="0"/>
        <w:jc w:val="left"/>
        <w:rPr>
          <w:sz w:val="24"/>
        </w:rPr>
      </w:pPr>
      <w:r>
        <w:rPr>
          <w:sz w:val="24"/>
        </w:rPr>
        <w:t>Roberto Silva da Rocha, Procurador-Geral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Município.</w:t>
      </w:r>
    </w:p>
    <w:sectPr>
      <w:pgSz w:w="11910" w:h="16850"/>
      <w:pgMar w:top="19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02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6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3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3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9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6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3" w:hanging="15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141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dcterms:created xsi:type="dcterms:W3CDTF">2024-07-09T12:53:31Z</dcterms:created>
  <dcterms:modified xsi:type="dcterms:W3CDTF">2024-07-09T12:53:31Z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2013</vt:lpwstr>
  </property>
</Properties>
</file>